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85E6E" w14:textId="77777777" w:rsidR="00C52060" w:rsidRDefault="00C52060" w:rsidP="007B35DA">
      <w:pPr>
        <w:spacing w:after="0" w:line="240" w:lineRule="auto"/>
        <w:ind w:left="120" w:right="44"/>
        <w:jc w:val="center"/>
        <w:rPr>
          <w:rFonts w:ascii="Palatino Linotype" w:hAnsi="Palatino Linotype"/>
          <w:noProof/>
          <w:spacing w:val="10"/>
          <w:sz w:val="26"/>
          <w:szCs w:val="26"/>
        </w:rPr>
      </w:pPr>
      <w:r>
        <w:rPr>
          <w:noProof/>
        </w:rPr>
        <w:drawing>
          <wp:inline distT="0" distB="0" distL="0" distR="0" wp14:anchorId="5D985EA4" wp14:editId="5D985EA5">
            <wp:extent cx="1188720" cy="2606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85E6F" w14:textId="77777777" w:rsidR="00C52060" w:rsidRPr="00E00E37" w:rsidRDefault="00D73870" w:rsidP="00C52060">
      <w:pPr>
        <w:spacing w:after="0" w:line="288" w:lineRule="auto"/>
        <w:ind w:right="44"/>
        <w:jc w:val="both"/>
        <w:rPr>
          <w:rFonts w:ascii="Palatino Linotype" w:hAnsi="Palatino Linotype"/>
          <w:noProof/>
          <w:spacing w:val="20"/>
          <w:sz w:val="26"/>
          <w:szCs w:val="26"/>
        </w:rPr>
      </w:pPr>
      <w:r>
        <w:rPr>
          <w:rFonts w:ascii="Palatino Linotype" w:hAnsi="Palatino Linotype"/>
          <w:noProof/>
          <w:spacing w:val="20"/>
          <w:sz w:val="26"/>
          <w:szCs w:val="26"/>
        </w:rPr>
        <w:pict w14:anchorId="5D985EA6">
          <v:rect id="_x0000_i1025" style="width:0;height:1.5pt" o:hralign="center" o:hrstd="t" o:hr="t" fillcolor="#a0a0a0" stroked="f"/>
        </w:pict>
      </w:r>
    </w:p>
    <w:p w14:paraId="5D985E70" w14:textId="77777777" w:rsidR="00ED5ED6" w:rsidRDefault="00ED5ED6" w:rsidP="007B35DA">
      <w:pPr>
        <w:spacing w:after="0"/>
        <w:ind w:left="180" w:right="44"/>
        <w:jc w:val="center"/>
        <w:rPr>
          <w:rFonts w:ascii="Rockwell" w:eastAsia="Palatino Linotype" w:hAnsi="Rockwell" w:cs="Palatino Linotype"/>
          <w:b/>
          <w:spacing w:val="20"/>
          <w:position w:val="1"/>
          <w:sz w:val="28"/>
          <w:szCs w:val="26"/>
        </w:rPr>
      </w:pPr>
    </w:p>
    <w:p w14:paraId="5D985E71" w14:textId="1316EA86" w:rsidR="00C52060" w:rsidRPr="009B7228" w:rsidRDefault="00052AA2" w:rsidP="00725207">
      <w:pPr>
        <w:spacing w:after="0"/>
        <w:ind w:left="180" w:right="44"/>
        <w:jc w:val="center"/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</w:pPr>
      <w:r w:rsidRPr="009B7228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 xml:space="preserve">IMPACTS OF </w:t>
      </w:r>
      <w:r w:rsidR="00C52060" w:rsidRPr="009B7228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>EPA’S</w:t>
      </w:r>
      <w:r w:rsidR="00FD628A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 xml:space="preserve"> </w:t>
      </w:r>
      <w:r w:rsidR="00863217" w:rsidRPr="009B7228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 xml:space="preserve">CARBON </w:t>
      </w:r>
      <w:r w:rsidR="00FD628A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>PROPOSAL</w:t>
      </w:r>
      <w:r w:rsidR="00ED5ED6" w:rsidRPr="009B7228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 xml:space="preserve"> ON </w:t>
      </w:r>
      <w:r w:rsidR="009320E4" w:rsidRPr="009B7228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>KANSAS</w:t>
      </w:r>
    </w:p>
    <w:p w14:paraId="5D985E72" w14:textId="77777777" w:rsidR="00ED5ED6" w:rsidRPr="00ED5ED6" w:rsidRDefault="00ED5ED6" w:rsidP="00ED5ED6">
      <w:pPr>
        <w:spacing w:before="10" w:after="0"/>
        <w:jc w:val="both"/>
        <w:rPr>
          <w:rFonts w:ascii="Rockwell" w:eastAsia="Palatino Linotype" w:hAnsi="Rockwell" w:cs="Palatino Linotype"/>
          <w:spacing w:val="10"/>
          <w:position w:val="1"/>
          <w:sz w:val="24"/>
          <w:szCs w:val="26"/>
        </w:rPr>
      </w:pPr>
    </w:p>
    <w:p w14:paraId="5D985E73" w14:textId="14FB5C28" w:rsidR="00C52060" w:rsidRPr="009B7228" w:rsidRDefault="00B84019" w:rsidP="00725207">
      <w:pPr>
        <w:spacing w:before="10" w:after="0"/>
        <w:ind w:firstLine="180"/>
        <w:jc w:val="both"/>
        <w:rPr>
          <w:rFonts w:ascii="Arial Black" w:eastAsia="Palatino Linotype" w:hAnsi="Arial Black" w:cs="Palatino Linotype"/>
          <w:color w:val="FF0000"/>
          <w:spacing w:val="20"/>
          <w:position w:val="1"/>
          <w:sz w:val="24"/>
          <w:szCs w:val="26"/>
        </w:rPr>
      </w:pPr>
      <w:r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>B</w:t>
      </w:r>
      <w:r w:rsidR="00673F60"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>AC</w:t>
      </w:r>
      <w:r>
        <w:rPr>
          <w:rFonts w:ascii="Arial Black" w:eastAsia="Palatino Linotype" w:hAnsi="Arial Black" w:cs="Palatino Linotype"/>
          <w:spacing w:val="20"/>
          <w:position w:val="1"/>
          <w:sz w:val="24"/>
          <w:szCs w:val="26"/>
        </w:rPr>
        <w:t>KGROUND</w:t>
      </w:r>
    </w:p>
    <w:p w14:paraId="5D985E74" w14:textId="77777777" w:rsidR="00ED5ED6" w:rsidRPr="005D16D9" w:rsidRDefault="00ED5ED6" w:rsidP="00ED5ED6">
      <w:pPr>
        <w:spacing w:after="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5D985E75" w14:textId="2B3737CC" w:rsidR="00912682" w:rsidRPr="00AF10E4" w:rsidRDefault="007B35DA" w:rsidP="006E1A78">
      <w:pPr>
        <w:pStyle w:val="ListParagraph"/>
        <w:numPr>
          <w:ilvl w:val="0"/>
          <w:numId w:val="21"/>
        </w:numPr>
        <w:spacing w:before="10" w:after="0"/>
        <w:ind w:left="547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2013,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relied </w:t>
      </w:r>
      <w:r w:rsidR="0024619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on 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coal for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61</w:t>
      </w:r>
      <w:r w:rsidR="00C0132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% 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of its </w:t>
      </w:r>
      <w:r w:rsidR="0024619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electricity supply, with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renewables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providing 2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="00C0132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% 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>and n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uclear power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15</w:t>
      </w:r>
      <w:r w:rsidR="00C01328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. 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Natural gas and oil provided the re</w:t>
      </w:r>
      <w:r w:rsidR="004D3C7A">
        <w:rPr>
          <w:rFonts w:ascii="Palatino Linotype" w:eastAsia="Palatino Linotype" w:hAnsi="Palatino Linotype" w:cs="Palatino Linotype"/>
          <w:spacing w:val="10"/>
          <w:sz w:val="24"/>
          <w:szCs w:val="26"/>
        </w:rPr>
        <w:t>maining 4%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AF10E4" w:rsidRPr="001742F9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"/>
      </w:r>
      <w:r w:rsidR="00AF10E4" w:rsidRPr="001742F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AF10E4" w:rsidRPr="001742F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’s </w:t>
      </w:r>
      <w:r w:rsidR="00F13B7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average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electricity price 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>of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394EC0">
        <w:rPr>
          <w:rFonts w:ascii="Palatino Linotype" w:eastAsia="Palatino Linotype" w:hAnsi="Palatino Linotype" w:cs="Palatino Linotype"/>
          <w:spacing w:val="10"/>
          <w:sz w:val="24"/>
          <w:szCs w:val="26"/>
        </w:rPr>
        <w:t>9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394EC0">
        <w:rPr>
          <w:rFonts w:ascii="Palatino Linotype" w:eastAsia="Palatino Linotype" w:hAnsi="Palatino Linotype" w:cs="Palatino Linotype"/>
          <w:spacing w:val="10"/>
          <w:sz w:val="24"/>
          <w:szCs w:val="26"/>
        </w:rPr>
        <w:t>57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cents/kWh </w:t>
      </w:r>
      <w:r w:rsidR="004D3C7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last year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>w</w:t>
      </w:r>
      <w:r w:rsidR="00F13B7A">
        <w:rPr>
          <w:rFonts w:ascii="Palatino Linotype" w:eastAsia="Palatino Linotype" w:hAnsi="Palatino Linotype" w:cs="Palatino Linotype"/>
          <w:spacing w:val="10"/>
          <w:sz w:val="24"/>
          <w:szCs w:val="26"/>
        </w:rPr>
        <w:t>as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6E1A7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slightly </w:t>
      </w:r>
      <w:r w:rsidR="00394EC0">
        <w:rPr>
          <w:rFonts w:ascii="Palatino Linotype" w:eastAsia="Palatino Linotype" w:hAnsi="Palatino Linotype" w:cs="Palatino Linotype"/>
          <w:spacing w:val="10"/>
          <w:sz w:val="24"/>
          <w:szCs w:val="26"/>
        </w:rPr>
        <w:t>below</w:t>
      </w:r>
      <w:r w:rsidR="008902D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AF10E4" w:rsidRPr="001742F9">
        <w:rPr>
          <w:rFonts w:ascii="Palatino Linotype" w:eastAsia="Palatino Linotype" w:hAnsi="Palatino Linotype" w:cs="Palatino Linotype"/>
          <w:spacing w:val="10"/>
          <w:sz w:val="24"/>
          <w:szCs w:val="26"/>
        </w:rPr>
        <w:t>the national average.</w:t>
      </w:r>
      <w:r w:rsidR="00AF10E4" w:rsidRPr="001742F9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2"/>
      </w:r>
    </w:p>
    <w:p w14:paraId="5D985E76" w14:textId="77777777" w:rsidR="00026762" w:rsidRPr="005D16D9" w:rsidRDefault="00026762" w:rsidP="006E1A78">
      <w:pPr>
        <w:pStyle w:val="ListParagraph"/>
        <w:spacing w:after="0"/>
        <w:ind w:left="36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77" w14:textId="0640AEED" w:rsidR="003911B4" w:rsidRDefault="003911B4" w:rsidP="006E1A78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Currently, coal </w:t>
      </w:r>
      <w:r w:rsidR="00B84019">
        <w:rPr>
          <w:rFonts w:ascii="Palatino Linotype" w:eastAsia="Palatino Linotype" w:hAnsi="Palatino Linotype" w:cs="Palatino Linotype"/>
          <w:spacing w:val="10"/>
          <w:sz w:val="24"/>
          <w:szCs w:val="26"/>
        </w:rPr>
        <w:t>is responsible for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>2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,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>9</w:t>
      </w:r>
      <w:r w:rsidR="005D75FD">
        <w:rPr>
          <w:rFonts w:ascii="Palatino Linotype" w:eastAsia="Palatino Linotype" w:hAnsi="Palatino Linotype" w:cs="Palatino Linotype"/>
          <w:spacing w:val="10"/>
          <w:sz w:val="24"/>
          <w:szCs w:val="26"/>
        </w:rPr>
        <w:t>4</w:t>
      </w:r>
      <w:r w:rsidR="00E8796E"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direct and indirect jobs in</w:t>
      </w:r>
      <w:r w:rsidR="004E52D7"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3"/>
      </w:r>
    </w:p>
    <w:p w14:paraId="5D985E78" w14:textId="77777777" w:rsidR="003911B4" w:rsidRDefault="003911B4" w:rsidP="006E1A78">
      <w:pPr>
        <w:pStyle w:val="ListParagraph"/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79" w14:textId="73AEF4FE" w:rsidR="00E51DA5" w:rsidRPr="005F228D" w:rsidRDefault="0079157F" w:rsidP="006E1A78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Despite below-average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B05E1">
        <w:rPr>
          <w:rFonts w:ascii="Palatino Linotype" w:eastAsia="Palatino Linotype" w:hAnsi="Palatino Linotype" w:cs="Palatino Linotype"/>
          <w:spacing w:val="10"/>
          <w:sz w:val="24"/>
          <w:szCs w:val="26"/>
        </w:rPr>
        <w:t>electricity price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s, many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families are s</w:t>
      </w:r>
      <w:r w:rsidR="006E1A78">
        <w:rPr>
          <w:rFonts w:ascii="Palatino Linotype" w:eastAsia="Palatino Linotype" w:hAnsi="Palatino Linotype" w:cs="Palatino Linotype"/>
          <w:spacing w:val="10"/>
          <w:sz w:val="24"/>
          <w:szCs w:val="26"/>
        </w:rPr>
        <w:t>truggling with high energy cost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s.  </w:t>
      </w:r>
      <w:r w:rsidR="006A71C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The 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>550,000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l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ow-income and middle-income families</w:t>
      </w:r>
      <w:r w:rsidR="00450A26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in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C930C0">
        <w:rPr>
          <w:rFonts w:ascii="Palatino Linotype" w:eastAsia="Palatino Linotype" w:hAnsi="Palatino Linotype" w:cs="Palatino Linotype"/>
          <w:spacing w:val="10"/>
          <w:sz w:val="24"/>
          <w:szCs w:val="26"/>
        </w:rPr>
        <w:t>--</w:t>
      </w:r>
      <w:r w:rsidR="00C462D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>5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="002C0941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C462D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the state’s households</w:t>
      </w:r>
      <w:r w:rsidR="00C930C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-- </w:t>
      </w:r>
      <w:r w:rsidR="00BE5A5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spend </w:t>
      </w:r>
      <w:r w:rsidR="00771E85">
        <w:rPr>
          <w:rFonts w:ascii="Palatino Linotype" w:eastAsia="Palatino Linotype" w:hAnsi="Palatino Linotype" w:cs="Palatino Linotype"/>
          <w:spacing w:val="10"/>
          <w:sz w:val="24"/>
          <w:szCs w:val="26"/>
        </w:rPr>
        <w:t>1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>9</w:t>
      </w:r>
      <w:r w:rsidR="002C0941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their after-tax income on energy</w:t>
      </w:r>
      <w:r w:rsidR="0097707B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F27C22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4"/>
      </w:r>
      <w:r w:rsidR="0097707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5C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addition, 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>29</w:t>
      </w:r>
      <w:r w:rsidR="0093545E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households receive Social Security</w:t>
      </w:r>
      <w:r w:rsidR="00ED02E1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F27C22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5"/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97707B">
        <w:rPr>
          <w:rFonts w:ascii="Palatino Linotype" w:eastAsia="Palatino Linotype" w:hAnsi="Palatino Linotype" w:cs="Palatino Linotype"/>
          <w:spacing w:val="10"/>
          <w:sz w:val="24"/>
          <w:szCs w:val="26"/>
        </w:rPr>
        <w:t>L</w:t>
      </w:r>
      <w:r w:rsidR="006A71C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ower 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income 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families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and Social Security recipients 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>are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especially 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vulnerable to further inc</w:t>
      </w:r>
      <w:r w:rsidR="006E1A78">
        <w:rPr>
          <w:rFonts w:ascii="Palatino Linotype" w:eastAsia="Palatino Linotype" w:hAnsi="Palatino Linotype" w:cs="Palatino Linotype"/>
          <w:spacing w:val="10"/>
          <w:sz w:val="24"/>
          <w:szCs w:val="26"/>
        </w:rPr>
        <w:t>reases in energy cost</w:t>
      </w:r>
      <w:r w:rsidR="00C462DC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546117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6"/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622E7">
        <w:rPr>
          <w:rFonts w:ascii="Palatino Linotype" w:eastAsia="Palatino Linotype" w:hAnsi="Palatino Linotype" w:cs="Palatino Linotype"/>
          <w:color w:val="FF0000"/>
          <w:spacing w:val="10"/>
          <w:sz w:val="24"/>
          <w:szCs w:val="26"/>
        </w:rPr>
        <w:t xml:space="preserve">  </w:t>
      </w:r>
    </w:p>
    <w:p w14:paraId="5D985E7A" w14:textId="77777777" w:rsidR="005F228D" w:rsidRPr="005F228D" w:rsidRDefault="005F228D" w:rsidP="006E1A78">
      <w:pPr>
        <w:pStyle w:val="ListParagraph"/>
        <w:spacing w:after="0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bookmarkStart w:id="0" w:name="_GoBack"/>
      <w:bookmarkEnd w:id="0"/>
    </w:p>
    <w:p w14:paraId="5D985E7B" w14:textId="3FC0B9DB" w:rsidR="005253A4" w:rsidRDefault="00851DBC" w:rsidP="006E1A78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Utilities in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have announced the retirement of </w:t>
      </w:r>
      <w:r w:rsidR="00C930C0">
        <w:rPr>
          <w:rFonts w:ascii="Palatino Linotype" w:eastAsia="Palatino Linotype" w:hAnsi="Palatino Linotype" w:cs="Palatino Linotype"/>
          <w:spacing w:val="10"/>
          <w:sz w:val="24"/>
          <w:szCs w:val="26"/>
        </w:rPr>
        <w:t>two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coal </w:t>
      </w:r>
      <w:r w:rsidR="002357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units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due to EPA policies.  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Nationwide, utilities have announce</w:t>
      </w:r>
      <w:r w:rsidR="00BE5A5B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d 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the retirement </w:t>
      </w:r>
      <w:r w:rsidR="007E5EC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or conversion 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of 3</w:t>
      </w:r>
      <w:r w:rsidR="00832FBA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8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1 coal units (totaling </w:t>
      </w:r>
      <w:r w:rsidR="00832FBA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60,104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MW) in </w:t>
      </w:r>
      <w:r w:rsidR="00832FBA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36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states</w:t>
      </w:r>
      <w:r w:rsidR="00BE5A5B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due to EPA policies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5253A4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7"/>
      </w:r>
      <w:r w:rsidR="00934B1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A67B13">
        <w:rPr>
          <w:rFonts w:ascii="Palatino Linotype" w:eastAsia="Palatino Linotype" w:hAnsi="Palatino Linotype" w:cs="Palatino Linotype"/>
          <w:color w:val="FF0000"/>
          <w:spacing w:val="10"/>
          <w:sz w:val="24"/>
          <w:szCs w:val="26"/>
        </w:rPr>
        <w:t xml:space="preserve">  </w:t>
      </w:r>
    </w:p>
    <w:p w14:paraId="5D985E7C" w14:textId="77777777" w:rsidR="005253A4" w:rsidRDefault="005253A4" w:rsidP="00F60A98">
      <w:pPr>
        <w:pStyle w:val="ListParagraph"/>
        <w:spacing w:before="10"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7D" w14:textId="77777777" w:rsidR="00ED5ED6" w:rsidRPr="009B7228" w:rsidRDefault="00ED5ED6" w:rsidP="00725207">
      <w:pPr>
        <w:spacing w:before="10" w:after="0"/>
        <w:ind w:firstLine="180"/>
        <w:jc w:val="both"/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</w:pPr>
      <w:r w:rsidRPr="009B7228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EPA’S </w:t>
      </w:r>
      <w:r w:rsidR="003363DB" w:rsidRPr="009B7228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CARBON </w:t>
      </w:r>
      <w:r w:rsidRPr="009B7228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PROPOSAL</w:t>
      </w:r>
    </w:p>
    <w:p w14:paraId="5D985E7E" w14:textId="77777777" w:rsidR="00ED5ED6" w:rsidRDefault="00ED5ED6" w:rsidP="00F60A98">
      <w:pPr>
        <w:pStyle w:val="ListParagraph"/>
        <w:spacing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7F" w14:textId="77777777" w:rsidR="00ED5ED6" w:rsidRDefault="00ED5ED6" w:rsidP="006E1A78">
      <w:pPr>
        <w:pStyle w:val="ListParagraph"/>
        <w:numPr>
          <w:ilvl w:val="0"/>
          <w:numId w:val="21"/>
        </w:numPr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In June</w:t>
      </w:r>
      <w:r w:rsidR="0070159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, EPA proposed </w:t>
      </w:r>
      <w:r w:rsidR="008252C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its 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>“</w:t>
      </w:r>
      <w:r w:rsidR="008252C2">
        <w:rPr>
          <w:rFonts w:ascii="Palatino Linotype" w:eastAsia="Palatino Linotype" w:hAnsi="Palatino Linotype" w:cs="Palatino Linotype"/>
          <w:spacing w:val="10"/>
          <w:sz w:val="24"/>
          <w:szCs w:val="26"/>
        </w:rPr>
        <w:t>Clean Power Plan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>”</w:t>
      </w:r>
      <w:r w:rsidR="008252C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(CPP)</w:t>
      </w:r>
      <w:r w:rsidR="00203A3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to reduce carbon dioxide</w:t>
      </w:r>
      <w:r w:rsidR="00BD2DC1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(CO</w:t>
      </w:r>
      <w:r w:rsidR="00BD2DC1" w:rsidRPr="00A1431F">
        <w:rPr>
          <w:rFonts w:ascii="Palatino Linotype" w:eastAsia="Palatino Linotype" w:hAnsi="Palatino Linotype" w:cs="Palatino Linotype"/>
          <w:spacing w:val="10"/>
          <w:sz w:val="24"/>
          <w:szCs w:val="26"/>
          <w:vertAlign w:val="subscript"/>
        </w:rPr>
        <w:t>2</w:t>
      </w:r>
      <w:r w:rsidR="00BD2DC1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)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emissions from existing coal-fired and </w:t>
      </w:r>
      <w:r w:rsidR="008A2352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natural 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gas-fired power plants</w:t>
      </w:r>
      <w:r w:rsidR="008B1056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in 49 states, including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.  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>EPA plans to finalize the proposal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4B19" w:rsidRPr="00935C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June </w:t>
      </w:r>
      <w:r w:rsidR="00AB0E7B" w:rsidRPr="00935C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of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next year.</w:t>
      </w:r>
    </w:p>
    <w:p w14:paraId="5D985E80" w14:textId="77777777" w:rsidR="00A67B13" w:rsidRPr="003B0DA5" w:rsidRDefault="00A67B13" w:rsidP="006E1A78">
      <w:pPr>
        <w:pStyle w:val="ListParagraph"/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81" w14:textId="01D14CC9" w:rsidR="00ED5ED6" w:rsidRDefault="00ED5ED6" w:rsidP="006E1A78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Under the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EPA 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proposal,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will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be required to reduce the CO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  <w:vertAlign w:val="subscript"/>
        </w:rPr>
        <w:t>2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emissions rate of its electric generating fleet by </w:t>
      </w:r>
      <w:r w:rsidR="00024D3F">
        <w:rPr>
          <w:rFonts w:ascii="Palatino Linotype" w:eastAsia="Palatino Linotype" w:hAnsi="Palatino Linotype" w:cs="Palatino Linotype"/>
          <w:spacing w:val="10"/>
          <w:sz w:val="24"/>
          <w:szCs w:val="26"/>
        </w:rPr>
        <w:t>23%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Pr="00A1431F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8"/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3B0DA5">
        <w:rPr>
          <w:rFonts w:ascii="Palatino Linotype" w:eastAsia="Palatino Linotype" w:hAnsi="Palatino Linotype" w:cs="Palatino Linotype"/>
          <w:color w:val="FF0000"/>
          <w:spacing w:val="10"/>
          <w:sz w:val="24"/>
          <w:szCs w:val="26"/>
        </w:rPr>
        <w:t xml:space="preserve"> 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EPA’s proposal will force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to change the way the state </w:t>
      </w:r>
      <w:r w:rsidR="009B7228">
        <w:rPr>
          <w:rFonts w:ascii="Palatino Linotype" w:eastAsia="Palatino Linotype" w:hAnsi="Palatino Linotype" w:cs="Palatino Linotype"/>
          <w:spacing w:val="10"/>
          <w:sz w:val="24"/>
          <w:szCs w:val="26"/>
        </w:rPr>
        <w:t>produces</w:t>
      </w:r>
      <w:r w:rsidR="0015312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electricity, reduce the amount of electricity 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used by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consumers, and</w:t>
      </w:r>
      <w:r w:rsidR="009B722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significantly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15312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increase 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the price of electricity.</w:t>
      </w:r>
    </w:p>
    <w:p w14:paraId="5D985E82" w14:textId="77777777" w:rsidR="00ED5ED6" w:rsidRDefault="00146564" w:rsidP="006E1A78">
      <w:pPr>
        <w:pStyle w:val="ListParagraph"/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</w:p>
    <w:p w14:paraId="5D985E83" w14:textId="11202D6F" w:rsidR="00387EFE" w:rsidRPr="00A1431F" w:rsidRDefault="0015312F" w:rsidP="006E1A78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EPA </w:t>
      </w:r>
      <w:r w:rsidR="00701597" w:rsidRPr="009B7228">
        <w:rPr>
          <w:rFonts w:ascii="Palatino Linotype" w:eastAsia="Palatino Linotype" w:hAnsi="Palatino Linotype" w:cs="Palatino Linotype"/>
          <w:i/>
          <w:spacing w:val="10"/>
          <w:sz w:val="24"/>
          <w:szCs w:val="26"/>
        </w:rPr>
        <w:t>assumed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the following </w:t>
      </w:r>
      <w:r w:rsidR="00ED5ED6">
        <w:rPr>
          <w:rFonts w:ascii="Palatino Linotype" w:eastAsia="Palatino Linotype" w:hAnsi="Palatino Linotype" w:cs="Palatino Linotype"/>
          <w:spacing w:val="10"/>
          <w:sz w:val="24"/>
          <w:szCs w:val="26"/>
        </w:rPr>
        <w:t>in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B7228">
        <w:rPr>
          <w:rFonts w:ascii="Palatino Linotype" w:eastAsia="Palatino Linotype" w:hAnsi="Palatino Linotype" w:cs="Palatino Linotype"/>
          <w:spacing w:val="10"/>
          <w:sz w:val="24"/>
          <w:szCs w:val="26"/>
        </w:rPr>
        <w:t>order to set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’ emission</w:t>
      </w:r>
      <w:r w:rsidR="007B35DA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>rate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:</w:t>
      </w:r>
    </w:p>
    <w:p w14:paraId="5D985E84" w14:textId="77777777" w:rsidR="0097707B" w:rsidRPr="00A172D0" w:rsidRDefault="0097707B" w:rsidP="006E1A78">
      <w:pPr>
        <w:pStyle w:val="ListParagraph"/>
        <w:spacing w:before="10" w:after="0"/>
        <w:ind w:left="36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85" w14:textId="77777777" w:rsidR="00C7188F" w:rsidRPr="003F6C4C" w:rsidRDefault="0015312F" w:rsidP="006E1A78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3F6C4C">
        <w:rPr>
          <w:rFonts w:ascii="Palatino Linotype" w:eastAsia="Palatino Linotype" w:hAnsi="Palatino Linotype" w:cs="Palatino Linotype"/>
          <w:spacing w:val="10"/>
          <w:sz w:val="24"/>
          <w:szCs w:val="26"/>
        </w:rPr>
        <w:t>T</w:t>
      </w:r>
      <w:r w:rsidR="00C7188F" w:rsidRPr="003F6C4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he efficiency of existing coal-fired units </w:t>
      </w:r>
      <w:r w:rsidRPr="003F6C4C">
        <w:rPr>
          <w:rFonts w:ascii="Palatino Linotype" w:eastAsia="Palatino Linotype" w:hAnsi="Palatino Linotype" w:cs="Palatino Linotype"/>
          <w:spacing w:val="10"/>
          <w:sz w:val="24"/>
          <w:szCs w:val="26"/>
        </w:rPr>
        <w:t>can be improved by 6%</w:t>
      </w:r>
      <w:r w:rsidR="00C7188F" w:rsidRPr="003F6C4C">
        <w:rPr>
          <w:rFonts w:ascii="Palatino Linotype" w:eastAsia="Palatino Linotype" w:hAnsi="Palatino Linotype" w:cs="Palatino Linotype"/>
          <w:spacing w:val="10"/>
          <w:sz w:val="24"/>
          <w:szCs w:val="26"/>
        </w:rPr>
        <w:t>;</w:t>
      </w:r>
      <w:r w:rsidR="00C7188F" w:rsidRPr="003F6C4C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9"/>
      </w:r>
    </w:p>
    <w:p w14:paraId="15C94B18" w14:textId="399BA82F" w:rsidR="007F39E3" w:rsidRPr="00B11177" w:rsidRDefault="0015312F" w:rsidP="006E1A78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E</w:t>
      </w:r>
      <w:r w:rsidR="008E6500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lectricity from </w:t>
      </w:r>
      <w:r w:rsidR="00F4529F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renewable </w:t>
      </w:r>
      <w:r w:rsidR="008E6500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energy sources</w:t>
      </w:r>
      <w:r w:rsidR="002B4982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can be increased </w:t>
      </w:r>
      <w:r w:rsidR="00AE08C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by </w:t>
      </w:r>
      <w:r w:rsidR="0002405C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7</w:t>
      </w:r>
      <w:r w:rsidR="00634899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="00F60A98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0C3307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;</w:t>
      </w:r>
      <w:r w:rsidR="00091951" w:rsidRPr="00B11177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0"/>
      </w:r>
    </w:p>
    <w:p w14:paraId="5D985E86" w14:textId="3FF78E7A" w:rsidR="00F4529F" w:rsidRPr="00B11177" w:rsidRDefault="003F6C4C" w:rsidP="006E1A78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3F6C4C">
        <w:rPr>
          <w:rFonts w:ascii="Palatino Linotype" w:eastAsia="Palatino Linotype" w:hAnsi="Palatino Linotype" w:cs="Palatino Linotype"/>
          <w:spacing w:val="10"/>
          <w:sz w:val="24"/>
          <w:szCs w:val="26"/>
        </w:rPr>
        <w:t>None of the state’s nuclear generation will retire;</w:t>
      </w:r>
      <w:r w:rsidRPr="003F6C4C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1"/>
      </w:r>
      <w:r w:rsidRPr="003F6C4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47605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and</w:t>
      </w:r>
    </w:p>
    <w:p w14:paraId="5D985E87" w14:textId="77777777" w:rsidR="00011BF8" w:rsidRPr="00B11177" w:rsidRDefault="009320E4" w:rsidP="006E1A78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15312F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 can reduce electricity use </w:t>
      </w:r>
      <w:r w:rsidR="002B4982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by</w:t>
      </w:r>
      <w:r w:rsidR="00406745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796967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over 10</w:t>
      </w:r>
      <w:r w:rsidR="00F60A98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2B4982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AE0743" w:rsidRPr="00B11177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2"/>
      </w:r>
    </w:p>
    <w:p w14:paraId="5D985E88" w14:textId="77777777" w:rsidR="00725207" w:rsidRPr="00935C77" w:rsidRDefault="00725207" w:rsidP="006E1A78">
      <w:pPr>
        <w:spacing w:before="10" w:after="0"/>
        <w:ind w:firstLine="180"/>
        <w:jc w:val="both"/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</w:pPr>
    </w:p>
    <w:p w14:paraId="5D985E89" w14:textId="4FCC0FED" w:rsidR="003363DB" w:rsidRPr="00935C77" w:rsidRDefault="009B7228" w:rsidP="006E1A78">
      <w:pPr>
        <w:pStyle w:val="ListParagraph"/>
        <w:numPr>
          <w:ilvl w:val="0"/>
          <w:numId w:val="25"/>
        </w:numPr>
        <w:spacing w:before="10" w:after="0"/>
        <w:jc w:val="both"/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</w:pP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EPA’s proposal conflicts with Kansas law (HB 2636) requiring that CO</w:t>
      </w: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  <w:vertAlign w:val="subscript"/>
        </w:rPr>
        <w:t>2</w:t>
      </w: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standards for the state must be based on </w:t>
      </w:r>
      <w:r w:rsidR="007F39E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measures that can be implemented at fossil-fueled </w:t>
      </w: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power plant</w:t>
      </w:r>
      <w:r w:rsidR="007F39E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s (“inside the fence” measures)</w:t>
      </w: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.  </w:t>
      </w:r>
      <w:r w:rsidR="00AA263F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Kansas’</w:t>
      </w:r>
      <w:r w:rsidR="006E1A78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Attorney G</w:t>
      </w:r>
      <w:r w:rsidR="00AA263F"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>eneral</w:t>
      </w:r>
      <w:r w:rsidR="00AA263F" w:rsidRPr="005C5EB2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signed</w:t>
      </w:r>
      <w:r w:rsidR="00AA263F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a </w:t>
      </w:r>
      <w:r w:rsidR="00AA263F">
        <w:rPr>
          <w:rFonts w:ascii="Palatino Linotype" w:eastAsia="Palatino Linotype" w:hAnsi="Palatino Linotype" w:cs="Palatino Linotype"/>
          <w:spacing w:val="10"/>
          <w:sz w:val="24"/>
          <w:szCs w:val="24"/>
        </w:rPr>
        <w:t>“w</w:t>
      </w:r>
      <w:r w:rsidR="00AA263F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hite </w:t>
      </w:r>
      <w:r w:rsidR="00AA263F">
        <w:rPr>
          <w:rFonts w:ascii="Palatino Linotype" w:eastAsia="Palatino Linotype" w:hAnsi="Palatino Linotype" w:cs="Palatino Linotype"/>
          <w:spacing w:val="10"/>
          <w:sz w:val="24"/>
          <w:szCs w:val="24"/>
        </w:rPr>
        <w:t>p</w:t>
      </w:r>
      <w:r w:rsidR="00AA263F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>aper</w:t>
      </w:r>
      <w:r w:rsidR="00AA263F">
        <w:rPr>
          <w:rFonts w:ascii="Palatino Linotype" w:eastAsia="Palatino Linotype" w:hAnsi="Palatino Linotype" w:cs="Palatino Linotype"/>
          <w:spacing w:val="10"/>
          <w:sz w:val="24"/>
          <w:szCs w:val="24"/>
        </w:rPr>
        <w:t>”</w:t>
      </w:r>
      <w:r w:rsidR="00AA263F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 w:rsidR="00AA263F" w:rsidRPr="00A17919">
        <w:rPr>
          <w:rFonts w:ascii="Palatino Linotype" w:eastAsia="Palatino Linotype" w:hAnsi="Palatino Linotype" w:cs="Palatino Linotype"/>
          <w:spacing w:val="10"/>
          <w:sz w:val="24"/>
          <w:szCs w:val="24"/>
        </w:rPr>
        <w:t>last year opposing the approach that EPA proposed.</w:t>
      </w:r>
      <w:r w:rsidR="00AA263F" w:rsidRPr="00AA238E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4"/>
        </w:rPr>
        <w:endnoteReference w:id="13"/>
      </w:r>
      <w:r w:rsidR="00AA263F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 </w:t>
      </w:r>
      <w:r w:rsidR="007F39E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In total, o</w:t>
      </w:r>
      <w:r w:rsidR="00F8479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fficials from o</w:t>
      </w:r>
      <w:r w:rsidR="00A67B1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ver 30 states, including </w:t>
      </w:r>
      <w:r w:rsidR="009320E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A67B1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, have expressed opposition to the approach EPA has </w:t>
      </w:r>
      <w:r w:rsidR="00B6164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included </w:t>
      </w:r>
      <w:r w:rsidR="00A67B1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in its proposal.</w:t>
      </w:r>
      <w:r w:rsidR="0090592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Kansas </w:t>
      </w:r>
      <w:r w:rsidR="007F39E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is </w:t>
      </w:r>
      <w:r w:rsidR="0090592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also</w:t>
      </w:r>
      <w:r w:rsidR="007F39E3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one of 13 states that have </w:t>
      </w:r>
      <w:r w:rsidR="0090592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joined </w:t>
      </w:r>
      <w:r w:rsidR="00673F60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</w:t>
      </w:r>
      <w:r w:rsidR="00905924"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litiga</w:t>
      </w:r>
      <w:r w:rsidRPr="00B11177">
        <w:rPr>
          <w:rFonts w:ascii="Palatino Linotype" w:eastAsia="Palatino Linotype" w:hAnsi="Palatino Linotype" w:cs="Palatino Linotype"/>
          <w:spacing w:val="10"/>
          <w:sz w:val="24"/>
          <w:szCs w:val="26"/>
        </w:rPr>
        <w:t>tion challenging EPA’s proposal</w:t>
      </w:r>
      <w:r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  <w:t>.</w:t>
      </w:r>
      <w:r w:rsidR="00673F60">
        <w:rPr>
          <w:rStyle w:val="EndnoteReference"/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  <w:endnoteReference w:id="14"/>
      </w:r>
      <w:r w:rsidR="00C17319" w:rsidRPr="00935C77">
        <w:rPr>
          <w:rFonts w:ascii="Palatino Linotype" w:eastAsia="Palatino Linotype" w:hAnsi="Palatino Linotype" w:cs="Palatino Linotype"/>
          <w:spacing w:val="20"/>
          <w:position w:val="1"/>
          <w:sz w:val="24"/>
          <w:szCs w:val="26"/>
        </w:rPr>
        <w:t xml:space="preserve"> </w:t>
      </w:r>
      <w:r w:rsidR="00C17319"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  <w:t xml:space="preserve"> </w:t>
      </w:r>
    </w:p>
    <w:p w14:paraId="5D985E8A" w14:textId="77777777" w:rsidR="003363DB" w:rsidRDefault="003363DB" w:rsidP="00725207">
      <w:pPr>
        <w:spacing w:before="10" w:after="0"/>
        <w:ind w:firstLine="180"/>
        <w:jc w:val="both"/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</w:pPr>
    </w:p>
    <w:p w14:paraId="5D985E8B" w14:textId="2D860BB8" w:rsidR="00725207" w:rsidRPr="00673F60" w:rsidRDefault="00673F60" w:rsidP="00725207">
      <w:pPr>
        <w:spacing w:before="10" w:after="0"/>
        <w:ind w:firstLine="180"/>
        <w:jc w:val="both"/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</w:pPr>
      <w:r w:rsidRPr="00673F60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SERIOUS </w:t>
      </w:r>
      <w:r w:rsidR="003363DB" w:rsidRPr="00673F60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ECONOMIC </w:t>
      </w:r>
      <w:r w:rsidR="00AB0E7B" w:rsidRPr="00673F60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AND RELIABILITY </w:t>
      </w:r>
      <w:r w:rsidR="00725207" w:rsidRPr="00673F60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IMPACTS</w:t>
      </w:r>
      <w:r w:rsidR="003363DB" w:rsidRPr="00673F60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 </w:t>
      </w:r>
    </w:p>
    <w:p w14:paraId="5D985E8C" w14:textId="77777777" w:rsidR="00011BF8" w:rsidRPr="006959EF" w:rsidRDefault="00011BF8" w:rsidP="00F60A98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5D985E8D" w14:textId="6D2A2050" w:rsidR="004A766B" w:rsidRPr="004A766B" w:rsidRDefault="00AC330D" w:rsidP="00F60A98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Mo</w:t>
      </w:r>
      <w:r w:rsidR="00FB5C96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deling by N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ERA Economic Consulting</w:t>
      </w:r>
      <w:r w:rsidR="00FB5C96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projects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that the CPP will cause</w:t>
      </w:r>
      <w:r w:rsidR="00DC08C7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673F60">
        <w:rPr>
          <w:rFonts w:ascii="Palatino Linotype" w:eastAsia="Palatino Linotype" w:hAnsi="Palatino Linotype" w:cs="Palatino Linotype"/>
          <w:spacing w:val="10"/>
          <w:sz w:val="24"/>
          <w:szCs w:val="26"/>
        </w:rPr>
        <w:t>a</w:t>
      </w:r>
      <w:r w:rsidR="00FB5C96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1</w:t>
      </w:r>
      <w:r w:rsidR="00290738">
        <w:rPr>
          <w:rFonts w:ascii="Palatino Linotype" w:eastAsia="Palatino Linotype" w:hAnsi="Palatino Linotype" w:cs="Palatino Linotype"/>
          <w:spacing w:val="10"/>
          <w:sz w:val="24"/>
          <w:szCs w:val="26"/>
        </w:rPr>
        <w:t>2</w:t>
      </w:r>
      <w:r w:rsidR="00673F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% increase in retail </w:t>
      </w:r>
      <w:r w:rsidR="00FB5C96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electricity prices for</w:t>
      </w:r>
      <w:r w:rsidR="000610BA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FB5C96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consumers, with a peak year increase of </w:t>
      </w:r>
      <w:r w:rsidR="008E06CB">
        <w:rPr>
          <w:rFonts w:ascii="Palatino Linotype" w:eastAsia="Palatino Linotype" w:hAnsi="Palatino Linotype" w:cs="Palatino Linotype"/>
          <w:spacing w:val="10"/>
          <w:sz w:val="24"/>
          <w:szCs w:val="26"/>
        </w:rPr>
        <w:t>1</w:t>
      </w:r>
      <w:r w:rsidR="00290738">
        <w:rPr>
          <w:rFonts w:ascii="Palatino Linotype" w:eastAsia="Palatino Linotype" w:hAnsi="Palatino Linotype" w:cs="Palatino Linotype"/>
          <w:spacing w:val="10"/>
          <w:sz w:val="24"/>
          <w:szCs w:val="26"/>
        </w:rPr>
        <w:t>8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%.</w:t>
      </w:r>
      <w:r w:rsidR="00DC08C7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DC08C7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Under another scenario (what </w:t>
      </w:r>
      <w:r w:rsidR="00673F60">
        <w:rPr>
          <w:rFonts w:ascii="Palatino Linotype" w:eastAsia="Palatino Linotype" w:hAnsi="Palatino Linotype" w:cs="Palatino Linotype"/>
          <w:spacing w:val="10"/>
          <w:sz w:val="24"/>
          <w:szCs w:val="26"/>
        </w:rPr>
        <w:t>will happen</w:t>
      </w:r>
      <w:r w:rsidR="00DC08C7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if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 do not </w:t>
      </w:r>
      <w:r w:rsidR="00DC08C7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significantly 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reduce </w:t>
      </w:r>
      <w:r w:rsidR="00DC08C7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their electricity use),</w:t>
      </w:r>
      <w:r w:rsidR="00ED5ED6"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electricity prices in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F13B7A">
        <w:rPr>
          <w:rFonts w:ascii="Palatino Linotype" w:eastAsia="Palatino Linotype" w:hAnsi="Palatino Linotype" w:cs="Palatino Linotype"/>
          <w:spacing w:val="10"/>
          <w:sz w:val="24"/>
          <w:szCs w:val="26"/>
        </w:rPr>
        <w:t>c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ould increase by </w:t>
      </w:r>
      <w:r w:rsidR="00290738">
        <w:rPr>
          <w:rFonts w:ascii="Palatino Linotype" w:eastAsia="Palatino Linotype" w:hAnsi="Palatino Linotype" w:cs="Palatino Linotype"/>
          <w:spacing w:val="10"/>
          <w:sz w:val="24"/>
          <w:szCs w:val="26"/>
        </w:rPr>
        <w:t>25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%, with a peak year increase of </w:t>
      </w:r>
      <w:r w:rsidR="00290738">
        <w:rPr>
          <w:rFonts w:ascii="Palatino Linotype" w:eastAsia="Palatino Linotype" w:hAnsi="Palatino Linotype" w:cs="Palatino Linotype"/>
          <w:spacing w:val="10"/>
          <w:sz w:val="24"/>
          <w:szCs w:val="26"/>
        </w:rPr>
        <w:t>29</w:t>
      </w:r>
      <w:r w:rsidR="00673F60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4A766B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450A26" w:rsidRPr="00450A26">
        <w:rPr>
          <w:rFonts w:ascii="Palatino Linotype" w:hAnsi="Palatino Linotype"/>
          <w:vertAlign w:val="superscript"/>
        </w:rPr>
        <w:endnoteReference w:id="15"/>
      </w:r>
      <w:r w:rsidR="004A766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</w:p>
    <w:p w14:paraId="5D985E8E" w14:textId="77777777" w:rsidR="004A766B" w:rsidRPr="004A766B" w:rsidRDefault="004A766B" w:rsidP="00F60A98">
      <w:pPr>
        <w:pStyle w:val="ListParagraph"/>
        <w:tabs>
          <w:tab w:val="left" w:pos="720"/>
        </w:tabs>
        <w:spacing w:before="10"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5D985E8F" w14:textId="77777777" w:rsidR="00FB5C96" w:rsidRPr="005F0B60" w:rsidRDefault="00ED48D4" w:rsidP="00725207">
      <w:pPr>
        <w:pStyle w:val="ListParagraph"/>
        <w:numPr>
          <w:ilvl w:val="0"/>
          <w:numId w:val="22"/>
        </w:numPr>
        <w:tabs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An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other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independent study 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conducted for 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the National Mining 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lastRenderedPageBreak/>
        <w:t>Association estimates</w:t>
      </w:r>
      <w:r w:rsidR="004A766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similar impacts, including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a peak year wholesale electricity price increase of </w:t>
      </w:r>
      <w:r w:rsidR="005653C8">
        <w:rPr>
          <w:rFonts w:ascii="Palatino Linotype" w:eastAsia="Palatino Linotype" w:hAnsi="Palatino Linotype" w:cs="Palatino Linotype"/>
          <w:spacing w:val="10"/>
          <w:sz w:val="24"/>
          <w:szCs w:val="26"/>
        </w:rPr>
        <w:t>2</w:t>
      </w:r>
      <w:r w:rsidR="00DD15A6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="005653C8">
        <w:rPr>
          <w:rFonts w:ascii="Palatino Linotype" w:eastAsia="Palatino Linotype" w:hAnsi="Palatino Linotype" w:cs="Palatino Linotype"/>
          <w:spacing w:val="10"/>
          <w:sz w:val="24"/>
          <w:szCs w:val="26"/>
        </w:rPr>
        <w:t>.4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for </w:t>
      </w:r>
      <w:r w:rsidR="009320E4">
        <w:rPr>
          <w:rFonts w:ascii="Palatino Linotype" w:eastAsia="Palatino Linotype" w:hAnsi="Palatino Linotype" w:cs="Palatino Linotype"/>
          <w:spacing w:val="10"/>
          <w:sz w:val="24"/>
          <w:szCs w:val="26"/>
        </w:rPr>
        <w:t>Kansas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</w:t>
      </w:r>
      <w:r w:rsidRP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Pr="005F0B60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6"/>
      </w:r>
    </w:p>
    <w:p w14:paraId="5D985E90" w14:textId="77777777" w:rsidR="00FB5C96" w:rsidRDefault="00FB5C96" w:rsidP="00F60A98">
      <w:pPr>
        <w:pStyle w:val="ListParagraph"/>
        <w:tabs>
          <w:tab w:val="left" w:pos="540"/>
          <w:tab w:val="left" w:pos="720"/>
        </w:tabs>
        <w:spacing w:before="10"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91" w14:textId="24A3E324" w:rsidR="00FB5C96" w:rsidRDefault="00FB5C96" w:rsidP="006E1A78">
      <w:pPr>
        <w:pStyle w:val="ListParagraph"/>
        <w:numPr>
          <w:ilvl w:val="0"/>
          <w:numId w:val="22"/>
        </w:numPr>
        <w:tabs>
          <w:tab w:val="left" w:pos="540"/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NERA also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projects </w:t>
      </w:r>
      <w:r w:rsidR="004D3C7A" w:rsidRPr="0032239F">
        <w:rPr>
          <w:rFonts w:ascii="Palatino Linotype" w:hAnsi="Palatino Linotype"/>
          <w:bCs/>
          <w:spacing w:val="10"/>
          <w:sz w:val="24"/>
          <w:szCs w:val="24"/>
        </w:rPr>
        <w:t>double digit electricity price increases in 42 other states, as well as</w:t>
      </w:r>
      <w:r w:rsidR="004D3C7A" w:rsidRPr="00047BDB">
        <w:rPr>
          <w:rFonts w:ascii="Palatino Linotype" w:hAnsi="Palatino Linotype"/>
          <w:spacing w:val="10"/>
          <w:sz w:val="24"/>
          <w:szCs w:val="24"/>
        </w:rPr>
        <w:t xml:space="preserve"> 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nationwide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costs averaging $</w:t>
      </w:r>
      <w:r w:rsidR="00AC330D">
        <w:rPr>
          <w:rFonts w:ascii="Palatino Linotype" w:eastAsia="Palatino Linotype" w:hAnsi="Palatino Linotype" w:cs="Palatino Linotype"/>
          <w:spacing w:val="10"/>
          <w:sz w:val="24"/>
          <w:szCs w:val="26"/>
        </w:rPr>
        <w:t>41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billion </w:t>
      </w:r>
      <w:r w:rsidR="00701597">
        <w:rPr>
          <w:rFonts w:ascii="Palatino Linotype" w:eastAsia="Palatino Linotype" w:hAnsi="Palatino Linotype" w:cs="Palatino Linotype"/>
          <w:spacing w:val="10"/>
          <w:sz w:val="24"/>
          <w:szCs w:val="26"/>
        </w:rPr>
        <w:t>to $</w:t>
      </w:r>
      <w:r w:rsidR="00AC330D">
        <w:rPr>
          <w:rFonts w:ascii="Palatino Linotype" w:eastAsia="Palatino Linotype" w:hAnsi="Palatino Linotype" w:cs="Palatino Linotype"/>
          <w:spacing w:val="10"/>
          <w:sz w:val="24"/>
          <w:szCs w:val="26"/>
        </w:rPr>
        <w:t>73</w:t>
      </w:r>
      <w:r w:rsidR="0070159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billion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per year.  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>NERA’s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projections include 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$560 billion that consumers 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nationwide </w:t>
      </w:r>
      <w:r w:rsidR="00673F60">
        <w:rPr>
          <w:rFonts w:ascii="Palatino Linotype" w:eastAsia="Palatino Linotype" w:hAnsi="Palatino Linotype" w:cs="Palatino Linotype"/>
          <w:spacing w:val="10"/>
          <w:sz w:val="24"/>
          <w:szCs w:val="26"/>
        </w:rPr>
        <w:t>will have to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spend to reduce</w:t>
      </w:r>
      <w:r w:rsidR="00673F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their</w:t>
      </w:r>
      <w:r w:rsidR="005F0B6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electricity use.</w:t>
      </w:r>
      <w:r w:rsidR="00935C77" w:rsidRPr="00935C77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5C77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7"/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</w:p>
    <w:p w14:paraId="5D985E92" w14:textId="77777777" w:rsidR="00F60A98" w:rsidRPr="007E1DCB" w:rsidRDefault="00F60A98" w:rsidP="006E1A78">
      <w:pPr>
        <w:pStyle w:val="ListParagraph"/>
        <w:tabs>
          <w:tab w:val="left" w:pos="540"/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5D985E93" w14:textId="46E9DF41" w:rsidR="00AB0E7B" w:rsidRPr="00830420" w:rsidRDefault="00AB0E7B" w:rsidP="006E1A78">
      <w:pPr>
        <w:pStyle w:val="ListParagraph"/>
        <w:numPr>
          <w:ilvl w:val="0"/>
          <w:numId w:val="13"/>
        </w:numPr>
        <w:tabs>
          <w:tab w:val="left" w:pos="720"/>
        </w:tabs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Grid operators and electric utilities </w:t>
      </w:r>
      <w:r w:rsidR="00C33DF2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many regions of the country </w:t>
      </w:r>
      <w:r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are expressing </w:t>
      </w:r>
      <w:r w:rsidR="00A67B13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serious</w:t>
      </w:r>
      <w:r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concern</w:t>
      </w:r>
      <w:r w:rsidR="00A67B13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about the </w:t>
      </w:r>
      <w:r w:rsidR="00673F60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threat</w:t>
      </w:r>
      <w:r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EPA’s proposal </w:t>
      </w:r>
      <w:r w:rsidR="00673F60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to</w:t>
      </w:r>
      <w:r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electric reliability.</w:t>
      </w:r>
      <w:r w:rsidR="00271E34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Th</w:t>
      </w:r>
      <w:r w:rsid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o</w:t>
      </w:r>
      <w:r w:rsidR="00271E34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 w:rsid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e</w:t>
      </w:r>
      <w:r w:rsidR="00271E34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concerned </w:t>
      </w:r>
      <w:r w:rsidR="00271E34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include the Southwest Power Pool, which is respons</w:t>
      </w:r>
      <w:r w:rsidR="006E1A78">
        <w:rPr>
          <w:rFonts w:ascii="Palatino Linotype" w:eastAsia="Palatino Linotype" w:hAnsi="Palatino Linotype" w:cs="Palatino Linotype"/>
          <w:spacing w:val="10"/>
          <w:sz w:val="24"/>
          <w:szCs w:val="26"/>
        </w:rPr>
        <w:t>ible for grid reliability in a nine</w:t>
      </w:r>
      <w:r w:rsidR="00271E34" w:rsidRPr="00830420">
        <w:rPr>
          <w:rFonts w:ascii="Palatino Linotype" w:eastAsia="Palatino Linotype" w:hAnsi="Palatino Linotype" w:cs="Palatino Linotype"/>
          <w:spacing w:val="10"/>
          <w:sz w:val="24"/>
          <w:szCs w:val="26"/>
        </w:rPr>
        <w:t>-state region that includes Kansas.</w:t>
      </w:r>
      <w:r w:rsidR="00A67B13" w:rsidRPr="00830420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8"/>
      </w:r>
    </w:p>
    <w:p w14:paraId="5D985E94" w14:textId="77777777" w:rsidR="00CE4120" w:rsidRPr="005D16D9" w:rsidRDefault="00CE4120" w:rsidP="00A1431F">
      <w:pPr>
        <w:pStyle w:val="ListParagraph"/>
        <w:tabs>
          <w:tab w:val="left" w:pos="720"/>
        </w:tabs>
        <w:spacing w:before="10" w:after="0" w:line="240" w:lineRule="auto"/>
        <w:ind w:left="63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5D985E95" w14:textId="20156D41" w:rsidR="005F0B60" w:rsidRPr="00F13B7A" w:rsidRDefault="00F13B7A" w:rsidP="00A1431F">
      <w:pPr>
        <w:spacing w:after="0" w:line="288" w:lineRule="auto"/>
        <w:rPr>
          <w:rFonts w:ascii="Arial Black" w:hAnsi="Arial Black"/>
          <w:b/>
          <w:spacing w:val="10"/>
          <w:sz w:val="24"/>
          <w:szCs w:val="26"/>
        </w:rPr>
      </w:pPr>
      <w:r w:rsidRPr="00F13B7A">
        <w:rPr>
          <w:rFonts w:ascii="Arial Black" w:hAnsi="Arial Black"/>
          <w:b/>
          <w:spacing w:val="10"/>
          <w:sz w:val="24"/>
          <w:szCs w:val="26"/>
        </w:rPr>
        <w:t>NO BENEFITS</w:t>
      </w:r>
    </w:p>
    <w:p w14:paraId="5D985E96" w14:textId="77777777" w:rsidR="003363DB" w:rsidRDefault="003363DB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5D985E97" w14:textId="538F6562" w:rsidR="003363DB" w:rsidRPr="0049017F" w:rsidRDefault="0049017F" w:rsidP="006E1A78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  <w:r>
        <w:rPr>
          <w:rFonts w:ascii="Palatino Linotype" w:hAnsi="Palatino Linotype"/>
          <w:spacing w:val="10"/>
          <w:sz w:val="24"/>
          <w:szCs w:val="26"/>
        </w:rPr>
        <w:t>I</w:t>
      </w:r>
      <w:r w:rsidRPr="0049017F">
        <w:rPr>
          <w:rFonts w:ascii="Palatino Linotype" w:hAnsi="Palatino Linotype"/>
          <w:spacing w:val="10"/>
          <w:sz w:val="24"/>
          <w:szCs w:val="26"/>
        </w:rPr>
        <w:t xml:space="preserve">n 2013 the U.S. electric sector </w:t>
      </w:r>
      <w:r>
        <w:rPr>
          <w:rFonts w:ascii="Palatino Linotype" w:hAnsi="Palatino Linotype"/>
          <w:spacing w:val="10"/>
          <w:sz w:val="24"/>
          <w:szCs w:val="26"/>
        </w:rPr>
        <w:t xml:space="preserve">emitted 2.05 billion </w:t>
      </w:r>
      <w:r w:rsidR="00B61644">
        <w:rPr>
          <w:rFonts w:ascii="Palatino Linotype" w:hAnsi="Palatino Linotype"/>
          <w:spacing w:val="10"/>
          <w:sz w:val="24"/>
          <w:szCs w:val="26"/>
        </w:rPr>
        <w:t>metric tons</w:t>
      </w:r>
      <w:r>
        <w:rPr>
          <w:rFonts w:ascii="Palatino Linotype" w:hAnsi="Palatino Linotype"/>
          <w:spacing w:val="10"/>
          <w:sz w:val="24"/>
          <w:szCs w:val="26"/>
        </w:rPr>
        <w:t xml:space="preserve"> of CO</w:t>
      </w:r>
      <w:r w:rsidRPr="0049017F">
        <w:rPr>
          <w:rFonts w:ascii="Palatino Linotype" w:hAnsi="Palatino Linotype"/>
          <w:spacing w:val="10"/>
          <w:sz w:val="24"/>
          <w:szCs w:val="26"/>
          <w:vertAlign w:val="subscript"/>
        </w:rPr>
        <w:t>2</w:t>
      </w:r>
      <w:r>
        <w:rPr>
          <w:rFonts w:ascii="Palatino Linotype" w:hAnsi="Palatino Linotype"/>
          <w:spacing w:val="10"/>
          <w:sz w:val="24"/>
          <w:szCs w:val="26"/>
        </w:rPr>
        <w:t xml:space="preserve">, </w:t>
      </w:r>
      <w:r w:rsidRPr="0049017F">
        <w:rPr>
          <w:rFonts w:ascii="Palatino Linotype" w:hAnsi="Palatino Linotype"/>
          <w:spacing w:val="10"/>
          <w:sz w:val="24"/>
          <w:szCs w:val="26"/>
        </w:rPr>
        <w:t>represent</w:t>
      </w:r>
      <w:r>
        <w:rPr>
          <w:rFonts w:ascii="Palatino Linotype" w:hAnsi="Palatino Linotype"/>
          <w:spacing w:val="10"/>
          <w:sz w:val="24"/>
          <w:szCs w:val="26"/>
        </w:rPr>
        <w:t>ing</w:t>
      </w:r>
      <w:r w:rsidRPr="0049017F">
        <w:rPr>
          <w:rFonts w:ascii="Palatino Linotype" w:hAnsi="Palatino Linotype"/>
          <w:spacing w:val="10"/>
          <w:sz w:val="24"/>
          <w:szCs w:val="26"/>
        </w:rPr>
        <w:t xml:space="preserve"> approximately 4</w:t>
      </w:r>
      <w:r w:rsidR="00B61644">
        <w:rPr>
          <w:rFonts w:ascii="Palatino Linotype" w:hAnsi="Palatino Linotype"/>
          <w:spacing w:val="10"/>
          <w:sz w:val="24"/>
          <w:szCs w:val="26"/>
        </w:rPr>
        <w:t>%</w:t>
      </w:r>
      <w:r w:rsidRPr="0049017F">
        <w:rPr>
          <w:rFonts w:ascii="Palatino Linotype" w:hAnsi="Palatino Linotype"/>
          <w:spacing w:val="10"/>
          <w:sz w:val="24"/>
          <w:szCs w:val="26"/>
        </w:rPr>
        <w:t xml:space="preserve"> of global </w:t>
      </w:r>
      <w:r w:rsidR="00B61D51">
        <w:rPr>
          <w:rFonts w:ascii="Palatino Linotype" w:hAnsi="Palatino Linotype"/>
          <w:spacing w:val="10"/>
          <w:sz w:val="24"/>
          <w:szCs w:val="26"/>
        </w:rPr>
        <w:t xml:space="preserve">anthropogenic </w:t>
      </w:r>
      <w:r w:rsidRPr="0049017F">
        <w:rPr>
          <w:rFonts w:ascii="Palatino Linotype" w:hAnsi="Palatino Linotype"/>
          <w:spacing w:val="10"/>
          <w:sz w:val="24"/>
          <w:szCs w:val="26"/>
        </w:rPr>
        <w:t>greenhouse gas emissions.</w:t>
      </w:r>
      <w:r w:rsidRPr="0049017F">
        <w:rPr>
          <w:rStyle w:val="EndnoteReference"/>
          <w:rFonts w:ascii="Palatino Linotype" w:hAnsi="Palatino Linotype"/>
          <w:spacing w:val="10"/>
          <w:sz w:val="24"/>
          <w:szCs w:val="26"/>
        </w:rPr>
        <w:endnoteReference w:id="19"/>
      </w:r>
      <w:r>
        <w:rPr>
          <w:rFonts w:ascii="Palatino Linotype" w:hAnsi="Palatino Linotype"/>
          <w:spacing w:val="10"/>
          <w:sz w:val="24"/>
          <w:szCs w:val="26"/>
        </w:rPr>
        <w:t xml:space="preserve">  </w:t>
      </w:r>
    </w:p>
    <w:p w14:paraId="5D985E98" w14:textId="77777777" w:rsidR="003363DB" w:rsidRPr="003363DB" w:rsidRDefault="003363DB" w:rsidP="006E1A78">
      <w:pPr>
        <w:pStyle w:val="ListParagraph"/>
        <w:spacing w:after="0"/>
        <w:ind w:left="360"/>
        <w:jc w:val="both"/>
        <w:rPr>
          <w:rFonts w:ascii="Palatino Linotype" w:hAnsi="Palatino Linotype"/>
          <w:spacing w:val="10"/>
          <w:sz w:val="24"/>
          <w:szCs w:val="26"/>
        </w:rPr>
      </w:pPr>
    </w:p>
    <w:p w14:paraId="5D985E9D" w14:textId="20AE2BA0" w:rsidR="0049017F" w:rsidRPr="007E1DCB" w:rsidRDefault="000C7846" w:rsidP="006E1A78">
      <w:pPr>
        <w:pStyle w:val="ListParagraph"/>
        <w:numPr>
          <w:ilvl w:val="1"/>
          <w:numId w:val="28"/>
        </w:numPr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  <w:r w:rsidRPr="007E1DCB">
        <w:rPr>
          <w:rFonts w:ascii="Palatino Linotype" w:hAnsi="Palatino Linotype"/>
          <w:spacing w:val="10"/>
          <w:sz w:val="24"/>
          <w:szCs w:val="26"/>
        </w:rPr>
        <w:t xml:space="preserve">Analysis based on </w:t>
      </w:r>
      <w:r w:rsidR="0049017F" w:rsidRPr="007E1DCB">
        <w:rPr>
          <w:rFonts w:ascii="Palatino Linotype" w:hAnsi="Palatino Linotype"/>
          <w:spacing w:val="10"/>
          <w:sz w:val="24"/>
          <w:szCs w:val="26"/>
        </w:rPr>
        <w:t>another</w:t>
      </w:r>
      <w:r w:rsidR="00AF08DA">
        <w:rPr>
          <w:rFonts w:ascii="Palatino Linotype" w:hAnsi="Palatino Linotype"/>
          <w:spacing w:val="10"/>
          <w:sz w:val="24"/>
          <w:szCs w:val="26"/>
        </w:rPr>
        <w:t xml:space="preserve"> EPA</w:t>
      </w:r>
      <w:r w:rsidR="0049017F" w:rsidRPr="007E1DCB">
        <w:rPr>
          <w:rFonts w:ascii="Palatino Linotype" w:hAnsi="Palatino Linotype"/>
          <w:spacing w:val="10"/>
          <w:sz w:val="24"/>
          <w:szCs w:val="26"/>
        </w:rPr>
        <w:t xml:space="preserve"> rulemaking</w:t>
      </w:r>
      <w:r w:rsidR="00B61644" w:rsidRPr="007E1DCB">
        <w:rPr>
          <w:rFonts w:ascii="Palatino Linotype" w:hAnsi="Palatino Linotype"/>
          <w:spacing w:val="10"/>
          <w:sz w:val="24"/>
          <w:szCs w:val="26"/>
        </w:rPr>
        <w:t xml:space="preserve"> shows that </w:t>
      </w:r>
      <w:r w:rsidR="0049017F" w:rsidRPr="007E1DCB">
        <w:rPr>
          <w:rFonts w:ascii="Palatino Linotype" w:hAnsi="Palatino Linotype"/>
          <w:spacing w:val="10"/>
          <w:sz w:val="24"/>
          <w:szCs w:val="26"/>
        </w:rPr>
        <w:t xml:space="preserve">the climate effects of the </w:t>
      </w:r>
      <w:r w:rsidR="00F13B7A" w:rsidRPr="00311582">
        <w:rPr>
          <w:rFonts w:ascii="Palatino Linotype" w:hAnsi="Palatino Linotype"/>
          <w:spacing w:val="10"/>
          <w:sz w:val="24"/>
          <w:szCs w:val="26"/>
        </w:rPr>
        <w:t>EPA proposal</w:t>
      </w:r>
      <w:r w:rsidR="0049017F" w:rsidRPr="00311582">
        <w:rPr>
          <w:rFonts w:ascii="Palatino Linotype" w:hAnsi="Palatino Linotype"/>
          <w:spacing w:val="10"/>
          <w:sz w:val="24"/>
          <w:szCs w:val="26"/>
        </w:rPr>
        <w:t xml:space="preserve"> are </w:t>
      </w:r>
      <w:r w:rsidR="00B61644" w:rsidRPr="00311582">
        <w:rPr>
          <w:rFonts w:ascii="Palatino Linotype" w:hAnsi="Palatino Linotype"/>
          <w:spacing w:val="10"/>
          <w:sz w:val="24"/>
          <w:szCs w:val="26"/>
        </w:rPr>
        <w:t>meaningless</w:t>
      </w:r>
      <w:r w:rsidR="007E1DCB" w:rsidRPr="00311582">
        <w:rPr>
          <w:rFonts w:ascii="Palatino Linotype" w:hAnsi="Palatino Linotype"/>
          <w:spacing w:val="10"/>
          <w:sz w:val="24"/>
          <w:szCs w:val="26"/>
        </w:rPr>
        <w:t>.  For example,</w:t>
      </w:r>
      <w:r w:rsidR="0049017F" w:rsidRPr="00311582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AF08DA">
        <w:rPr>
          <w:rFonts w:ascii="Palatino Linotype" w:hAnsi="Palatino Linotype"/>
          <w:spacing w:val="10"/>
          <w:sz w:val="24"/>
          <w:szCs w:val="26"/>
        </w:rPr>
        <w:t xml:space="preserve">the </w:t>
      </w:r>
      <w:r w:rsidR="007E1DCB" w:rsidRPr="007E1DCB">
        <w:rPr>
          <w:rFonts w:ascii="Palatino Linotype" w:hAnsi="Palatino Linotype"/>
          <w:bCs/>
          <w:spacing w:val="10"/>
          <w:sz w:val="24"/>
          <w:szCs w:val="26"/>
        </w:rPr>
        <w:t>a</w:t>
      </w:r>
      <w:r w:rsidR="0049017F" w:rsidRPr="007E1DCB">
        <w:rPr>
          <w:rFonts w:ascii="Palatino Linotype" w:hAnsi="Palatino Linotype"/>
          <w:bCs/>
          <w:spacing w:val="10"/>
          <w:sz w:val="24"/>
          <w:szCs w:val="26"/>
        </w:rPr>
        <w:t>tmospheric CO</w:t>
      </w:r>
      <w:r w:rsidR="0049017F" w:rsidRPr="007E1DCB">
        <w:rPr>
          <w:rFonts w:ascii="Palatino Linotype" w:hAnsi="Palatino Linotype"/>
          <w:bCs/>
          <w:spacing w:val="10"/>
          <w:sz w:val="24"/>
          <w:szCs w:val="26"/>
          <w:vertAlign w:val="subscript"/>
        </w:rPr>
        <w:t>2</w:t>
      </w:r>
      <w:r w:rsidR="0049017F" w:rsidRPr="007E1DCB">
        <w:rPr>
          <w:rFonts w:ascii="Palatino Linotype" w:hAnsi="Palatino Linotype"/>
          <w:bCs/>
          <w:spacing w:val="10"/>
          <w:sz w:val="24"/>
          <w:szCs w:val="26"/>
        </w:rPr>
        <w:t xml:space="preserve"> concentration </w:t>
      </w:r>
      <w:r w:rsidR="0049017F" w:rsidRPr="007E1DCB">
        <w:rPr>
          <w:rFonts w:ascii="Palatino Linotype" w:hAnsi="Palatino Linotype"/>
          <w:spacing w:val="10"/>
          <w:sz w:val="24"/>
          <w:szCs w:val="26"/>
        </w:rPr>
        <w:t>would be reduced by less than</w:t>
      </w:r>
      <w:r w:rsidR="00673F60" w:rsidRPr="007E1DCB">
        <w:rPr>
          <w:rFonts w:ascii="Palatino Linotype" w:hAnsi="Palatino Linotype"/>
          <w:spacing w:val="10"/>
          <w:sz w:val="24"/>
          <w:szCs w:val="26"/>
        </w:rPr>
        <w:t xml:space="preserve"> 0.5%;</w:t>
      </w:r>
      <w:r w:rsidR="007E1DCB" w:rsidRPr="007E1DCB">
        <w:rPr>
          <w:rFonts w:ascii="Palatino Linotype" w:hAnsi="Palatino Linotype"/>
          <w:bCs/>
          <w:spacing w:val="10"/>
          <w:sz w:val="24"/>
          <w:szCs w:val="26"/>
        </w:rPr>
        <w:t xml:space="preserve"> g</w:t>
      </w:r>
      <w:r w:rsidR="0049017F" w:rsidRPr="007E1DCB">
        <w:rPr>
          <w:rFonts w:ascii="Palatino Linotype" w:hAnsi="Palatino Linotype"/>
          <w:bCs/>
          <w:spacing w:val="10"/>
          <w:sz w:val="24"/>
          <w:szCs w:val="26"/>
        </w:rPr>
        <w:t xml:space="preserve">lobal average temperature </w:t>
      </w:r>
      <w:r w:rsidR="0049017F" w:rsidRPr="00311582">
        <w:rPr>
          <w:rFonts w:ascii="Palatino Linotype" w:hAnsi="Palatino Linotype"/>
          <w:spacing w:val="10"/>
          <w:sz w:val="24"/>
          <w:szCs w:val="26"/>
        </w:rPr>
        <w:t xml:space="preserve">increase would be reduced by </w:t>
      </w:r>
      <w:r w:rsidR="00F4256F" w:rsidRPr="00311582">
        <w:rPr>
          <w:rFonts w:ascii="Palatino Linotype" w:hAnsi="Palatino Linotype"/>
          <w:spacing w:val="10"/>
          <w:sz w:val="24"/>
          <w:szCs w:val="26"/>
        </w:rPr>
        <w:t>less than</w:t>
      </w:r>
      <w:r w:rsidR="00673F60" w:rsidRPr="00311582">
        <w:rPr>
          <w:rFonts w:ascii="Palatino Linotype" w:hAnsi="Palatino Linotype"/>
          <w:spacing w:val="10"/>
          <w:sz w:val="24"/>
          <w:szCs w:val="26"/>
        </w:rPr>
        <w:t xml:space="preserve"> 2/100</w:t>
      </w:r>
      <w:r w:rsidR="00673F60" w:rsidRPr="007E1DCB">
        <w:rPr>
          <w:rFonts w:ascii="Palatino Linotype" w:hAnsi="Palatino Linotype"/>
          <w:spacing w:val="10"/>
          <w:sz w:val="24"/>
          <w:szCs w:val="26"/>
          <w:vertAlign w:val="superscript"/>
        </w:rPr>
        <w:t>ths</w:t>
      </w:r>
      <w:r w:rsidR="00673F60" w:rsidRPr="007E1DCB">
        <w:rPr>
          <w:rFonts w:ascii="Palatino Linotype" w:hAnsi="Palatino Linotype"/>
          <w:spacing w:val="10"/>
          <w:sz w:val="24"/>
          <w:szCs w:val="26"/>
        </w:rPr>
        <w:t xml:space="preserve"> of a degree Fahrenheit; and</w:t>
      </w:r>
      <w:r w:rsidR="007E1DCB" w:rsidRPr="007E1DCB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7E1DCB">
        <w:rPr>
          <w:rFonts w:ascii="Palatino Linotype" w:hAnsi="Palatino Linotype"/>
          <w:bCs/>
          <w:spacing w:val="10"/>
          <w:sz w:val="24"/>
          <w:szCs w:val="26"/>
        </w:rPr>
        <w:t>s</w:t>
      </w:r>
      <w:r w:rsidR="0049017F" w:rsidRPr="007E1DCB">
        <w:rPr>
          <w:rFonts w:ascii="Palatino Linotype" w:hAnsi="Palatino Linotype"/>
          <w:bCs/>
          <w:spacing w:val="10"/>
          <w:sz w:val="24"/>
          <w:szCs w:val="26"/>
        </w:rPr>
        <w:t xml:space="preserve">ea level rise </w:t>
      </w:r>
      <w:r w:rsidR="00673F60" w:rsidRPr="007E1DCB">
        <w:rPr>
          <w:rFonts w:ascii="Palatino Linotype" w:hAnsi="Palatino Linotype"/>
          <w:spacing w:val="10"/>
          <w:sz w:val="24"/>
          <w:szCs w:val="26"/>
        </w:rPr>
        <w:t xml:space="preserve">would be reduced by </w:t>
      </w:r>
      <w:r w:rsidR="0049017F" w:rsidRPr="007E1DCB">
        <w:rPr>
          <w:rFonts w:ascii="Palatino Linotype" w:hAnsi="Palatino Linotype"/>
          <w:spacing w:val="10"/>
          <w:sz w:val="24"/>
          <w:szCs w:val="26"/>
        </w:rPr>
        <w:t>1/100</w:t>
      </w:r>
      <w:r w:rsidR="0049017F" w:rsidRPr="00311582">
        <w:rPr>
          <w:rFonts w:ascii="Palatino Linotype" w:hAnsi="Palatino Linotype"/>
          <w:spacing w:val="10"/>
          <w:sz w:val="24"/>
          <w:szCs w:val="26"/>
          <w:vertAlign w:val="superscript"/>
        </w:rPr>
        <w:t>th</w:t>
      </w:r>
      <w:r w:rsidR="0049017F" w:rsidRPr="00311582">
        <w:rPr>
          <w:rFonts w:ascii="Palatino Linotype" w:hAnsi="Palatino Linotype"/>
          <w:spacing w:val="10"/>
          <w:sz w:val="24"/>
          <w:szCs w:val="26"/>
        </w:rPr>
        <w:t xml:space="preserve"> of an inch</w:t>
      </w:r>
      <w:r w:rsidR="00AF08DA">
        <w:rPr>
          <w:rFonts w:ascii="Palatino Linotype" w:hAnsi="Palatino Linotype"/>
          <w:spacing w:val="10"/>
          <w:sz w:val="24"/>
          <w:szCs w:val="26"/>
        </w:rPr>
        <w:t xml:space="preserve"> (the thickness of three sheets of paper)</w:t>
      </w:r>
      <w:r w:rsidR="0049017F" w:rsidRPr="00311582">
        <w:rPr>
          <w:rFonts w:ascii="Palatino Linotype" w:hAnsi="Palatino Linotype"/>
          <w:spacing w:val="10"/>
          <w:sz w:val="24"/>
          <w:szCs w:val="26"/>
        </w:rPr>
        <w:t>.</w:t>
      </w:r>
      <w:r w:rsidR="00B5741E">
        <w:rPr>
          <w:rStyle w:val="EndnoteReference"/>
          <w:rFonts w:ascii="Palatino Linotype" w:hAnsi="Palatino Linotype"/>
          <w:spacing w:val="10"/>
          <w:sz w:val="24"/>
          <w:szCs w:val="26"/>
        </w:rPr>
        <w:endnoteReference w:id="20"/>
      </w:r>
      <w:r w:rsidR="0049017F" w:rsidRPr="007E1DCB">
        <w:rPr>
          <w:rFonts w:ascii="Palatino Linotype" w:hAnsi="Palatino Linotype"/>
          <w:spacing w:val="10"/>
          <w:sz w:val="24"/>
          <w:szCs w:val="26"/>
        </w:rPr>
        <w:t xml:space="preserve"> </w:t>
      </w:r>
    </w:p>
    <w:p w14:paraId="5D985E9E" w14:textId="77777777" w:rsidR="003363DB" w:rsidRDefault="003363DB" w:rsidP="006E1A78">
      <w:pPr>
        <w:spacing w:after="0"/>
        <w:jc w:val="both"/>
        <w:rPr>
          <w:rFonts w:ascii="Palatino Linotype" w:hAnsi="Palatino Linotype"/>
          <w:spacing w:val="10"/>
          <w:sz w:val="24"/>
          <w:szCs w:val="26"/>
        </w:rPr>
      </w:pPr>
    </w:p>
    <w:p w14:paraId="5D985E9F" w14:textId="4668DF04" w:rsidR="003363DB" w:rsidRPr="00450A26" w:rsidRDefault="004C1D55" w:rsidP="006E1A78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  <w:r w:rsidRPr="00450A26">
        <w:rPr>
          <w:rFonts w:ascii="Palatino Linotype" w:hAnsi="Palatino Linotype"/>
          <w:spacing w:val="10"/>
          <w:sz w:val="24"/>
          <w:szCs w:val="26"/>
        </w:rPr>
        <w:t>To justify the EPA proposal, its supporters argue the U.S. must show global leadership in reducing CO</w:t>
      </w:r>
      <w:r w:rsidRPr="00450A26">
        <w:rPr>
          <w:rFonts w:ascii="Palatino Linotype" w:hAnsi="Palatino Linotype"/>
          <w:spacing w:val="10"/>
          <w:sz w:val="24"/>
          <w:szCs w:val="26"/>
          <w:vertAlign w:val="subscript"/>
        </w:rPr>
        <w:t>2</w:t>
      </w:r>
      <w:r w:rsidRPr="00450A26">
        <w:rPr>
          <w:rFonts w:ascii="Palatino Linotype" w:hAnsi="Palatino Linotype"/>
          <w:spacing w:val="10"/>
          <w:sz w:val="24"/>
          <w:szCs w:val="26"/>
        </w:rPr>
        <w:t xml:space="preserve"> emissions.</w:t>
      </w:r>
      <w:r w:rsidRPr="00450A26" w:rsidDel="004C1D55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Pr="00450A26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ED02E1" w:rsidRPr="00450A26">
        <w:rPr>
          <w:rFonts w:ascii="Palatino Linotype" w:hAnsi="Palatino Linotype"/>
          <w:spacing w:val="10"/>
          <w:sz w:val="24"/>
          <w:szCs w:val="26"/>
        </w:rPr>
        <w:t xml:space="preserve">However, </w:t>
      </w:r>
      <w:r w:rsidRPr="00450A26">
        <w:rPr>
          <w:rFonts w:ascii="Palatino Linotype" w:hAnsi="Palatino Linotype"/>
          <w:spacing w:val="10"/>
          <w:sz w:val="24"/>
          <w:szCs w:val="26"/>
        </w:rPr>
        <w:t xml:space="preserve">other countries are abandoning pledges to reduce emissions or increasing emissions regardless of their pledges.  </w:t>
      </w:r>
      <w:r w:rsidR="00ED02E1" w:rsidRPr="00450A26">
        <w:rPr>
          <w:rFonts w:ascii="Palatino Linotype" w:hAnsi="Palatino Linotype"/>
          <w:spacing w:val="10"/>
          <w:sz w:val="24"/>
          <w:szCs w:val="26"/>
        </w:rPr>
        <w:t xml:space="preserve">According to the </w:t>
      </w:r>
      <w:r w:rsidR="00ED02E1" w:rsidRPr="00450A26">
        <w:rPr>
          <w:rFonts w:ascii="Palatino Linotype" w:hAnsi="Palatino Linotype"/>
          <w:i/>
          <w:spacing w:val="10"/>
          <w:sz w:val="24"/>
          <w:szCs w:val="26"/>
        </w:rPr>
        <w:t>Washington Post</w:t>
      </w:r>
      <w:r w:rsidR="00ED02E1" w:rsidRPr="00450A26">
        <w:rPr>
          <w:rFonts w:ascii="Palatino Linotype" w:hAnsi="Palatino Linotype"/>
          <w:spacing w:val="10"/>
          <w:sz w:val="24"/>
          <w:szCs w:val="26"/>
        </w:rPr>
        <w:t>, m</w:t>
      </w:r>
      <w:r w:rsidRPr="00450A26">
        <w:rPr>
          <w:rFonts w:ascii="Palatino Linotype" w:hAnsi="Palatino Linotype"/>
          <w:spacing w:val="10"/>
          <w:sz w:val="24"/>
          <w:szCs w:val="26"/>
        </w:rPr>
        <w:t xml:space="preserve">any industrialized countries are </w:t>
      </w:r>
      <w:r w:rsidR="00ED02E1" w:rsidRPr="00450A26">
        <w:rPr>
          <w:rFonts w:ascii="Palatino Linotype" w:hAnsi="Palatino Linotype"/>
          <w:spacing w:val="10"/>
          <w:sz w:val="24"/>
          <w:szCs w:val="26"/>
        </w:rPr>
        <w:t xml:space="preserve">not </w:t>
      </w:r>
      <w:r w:rsidRPr="00450A26">
        <w:rPr>
          <w:rFonts w:ascii="Palatino Linotype" w:hAnsi="Palatino Linotype"/>
          <w:spacing w:val="10"/>
          <w:sz w:val="24"/>
          <w:szCs w:val="26"/>
        </w:rPr>
        <w:t xml:space="preserve">expected to </w:t>
      </w:r>
      <w:r w:rsidR="00ED02E1" w:rsidRPr="00450A26">
        <w:rPr>
          <w:rFonts w:ascii="Palatino Linotype" w:hAnsi="Palatino Linotype"/>
          <w:spacing w:val="10"/>
          <w:sz w:val="24"/>
          <w:szCs w:val="26"/>
        </w:rPr>
        <w:t xml:space="preserve">meet their </w:t>
      </w:r>
      <w:r w:rsidRPr="00450A26">
        <w:rPr>
          <w:rFonts w:ascii="Palatino Linotype" w:hAnsi="Palatino Linotype"/>
          <w:spacing w:val="10"/>
          <w:sz w:val="24"/>
          <w:szCs w:val="26"/>
        </w:rPr>
        <w:t>commitments to reduce CO</w:t>
      </w:r>
      <w:r w:rsidRPr="00450A26">
        <w:rPr>
          <w:rFonts w:ascii="Palatino Linotype" w:hAnsi="Palatino Linotype"/>
          <w:spacing w:val="10"/>
          <w:sz w:val="24"/>
          <w:szCs w:val="26"/>
          <w:vertAlign w:val="subscript"/>
        </w:rPr>
        <w:t>2</w:t>
      </w:r>
      <w:r w:rsidRPr="00450A26">
        <w:rPr>
          <w:rFonts w:ascii="Palatino Linotype" w:hAnsi="Palatino Linotype"/>
          <w:spacing w:val="10"/>
          <w:sz w:val="24"/>
          <w:szCs w:val="26"/>
        </w:rPr>
        <w:t xml:space="preserve"> emissions.</w:t>
      </w:r>
      <w:r w:rsidRPr="00450A26">
        <w:rPr>
          <w:rStyle w:val="EndnoteReference"/>
          <w:rFonts w:ascii="Palatino Linotype" w:hAnsi="Palatino Linotype"/>
          <w:spacing w:val="10"/>
          <w:sz w:val="24"/>
          <w:szCs w:val="26"/>
        </w:rPr>
        <w:endnoteReference w:id="21"/>
      </w:r>
      <w:r w:rsidRPr="00450A26" w:rsidDel="004C1D55">
        <w:rPr>
          <w:rFonts w:ascii="Palatino Linotype" w:hAnsi="Palatino Linotype"/>
          <w:spacing w:val="10"/>
          <w:sz w:val="24"/>
          <w:szCs w:val="26"/>
        </w:rPr>
        <w:t xml:space="preserve"> </w:t>
      </w:r>
    </w:p>
    <w:p w14:paraId="602D7781" w14:textId="77777777" w:rsidR="006E1A78" w:rsidRDefault="006E1A78" w:rsidP="006E1A78">
      <w:pPr>
        <w:spacing w:after="0"/>
        <w:rPr>
          <w:rFonts w:ascii="Palatino Linotype" w:hAnsi="Palatino Linotype"/>
          <w:spacing w:val="10"/>
          <w:sz w:val="24"/>
          <w:szCs w:val="26"/>
        </w:rPr>
      </w:pPr>
    </w:p>
    <w:p w14:paraId="1DC64733" w14:textId="77777777" w:rsidR="006E1A78" w:rsidRDefault="006E1A78" w:rsidP="006E1A78">
      <w:pPr>
        <w:spacing w:after="0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5D985EA3" w14:textId="4B4E8161" w:rsidR="00701597" w:rsidRPr="00A1431F" w:rsidRDefault="00E80057" w:rsidP="006E1A78">
      <w:pPr>
        <w:spacing w:after="0"/>
        <w:jc w:val="right"/>
        <w:rPr>
          <w:rFonts w:ascii="Palatino Linotype" w:hAnsi="Palatino Linotype"/>
          <w:spacing w:val="10"/>
          <w:sz w:val="24"/>
          <w:szCs w:val="26"/>
        </w:rPr>
      </w:pPr>
      <w:r>
        <w:rPr>
          <w:rFonts w:ascii="Palatino Linotype" w:hAnsi="Palatino Linotype"/>
          <w:spacing w:val="10"/>
          <w:sz w:val="24"/>
          <w:szCs w:val="26"/>
        </w:rPr>
        <w:lastRenderedPageBreak/>
        <w:t>November 4,</w:t>
      </w:r>
      <w:r w:rsidR="002518B4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C52060" w:rsidRPr="008F6990">
        <w:rPr>
          <w:rFonts w:ascii="Palatino Linotype" w:hAnsi="Palatino Linotype"/>
          <w:spacing w:val="10"/>
          <w:sz w:val="24"/>
          <w:szCs w:val="26"/>
        </w:rPr>
        <w:t>2014</w:t>
      </w:r>
    </w:p>
    <w:sectPr w:rsidR="00701597" w:rsidRPr="00A1431F" w:rsidSect="00B84019">
      <w:footerReference w:type="default" r:id="rId13"/>
      <w:pgSz w:w="12240" w:h="15840"/>
      <w:pgMar w:top="1440" w:right="1800" w:bottom="144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C82E4" w14:textId="77777777" w:rsidR="00D73870" w:rsidRDefault="00D73870" w:rsidP="00273C05">
      <w:pPr>
        <w:spacing w:after="0" w:line="240" w:lineRule="auto"/>
      </w:pPr>
      <w:r>
        <w:separator/>
      </w:r>
    </w:p>
  </w:endnote>
  <w:endnote w:type="continuationSeparator" w:id="0">
    <w:p w14:paraId="17675B58" w14:textId="77777777" w:rsidR="00D73870" w:rsidRDefault="00D73870" w:rsidP="00273C05">
      <w:pPr>
        <w:spacing w:after="0" w:line="240" w:lineRule="auto"/>
      </w:pPr>
      <w:r>
        <w:continuationSeparator/>
      </w:r>
    </w:p>
  </w:endnote>
  <w:endnote w:id="1">
    <w:p w14:paraId="5D985EAD" w14:textId="77777777" w:rsidR="00AF10E4" w:rsidRPr="006E1A78" w:rsidRDefault="00AF10E4" w:rsidP="00311582">
      <w:pPr>
        <w:pStyle w:val="EndnoteText"/>
        <w:spacing w:before="240"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U.S. Energy Information Administration,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Electric Power Monthly</w:t>
      </w:r>
      <w:r w:rsidRPr="006E1A78">
        <w:rPr>
          <w:rFonts w:ascii="Palatino Linotype" w:hAnsi="Palatino Linotype"/>
          <w:spacing w:val="10"/>
          <w:sz w:val="18"/>
          <w:szCs w:val="18"/>
        </w:rPr>
        <w:t>, February 2014.</w:t>
      </w:r>
    </w:p>
  </w:endnote>
  <w:endnote w:id="2">
    <w:p w14:paraId="5D985EAE" w14:textId="77777777" w:rsidR="00AF10E4" w:rsidRPr="006E1A78" w:rsidRDefault="00AF10E4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Pr="006E1A78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3">
    <w:p w14:paraId="5D985EAF" w14:textId="3EF0E230" w:rsidR="003911B4" w:rsidRPr="006E1A78" w:rsidRDefault="003911B4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National Mining Association</w:t>
      </w:r>
      <w:r w:rsidR="00FB2288" w:rsidRPr="006E1A78">
        <w:rPr>
          <w:rFonts w:ascii="Palatino Linotype" w:hAnsi="Palatino Linotype"/>
          <w:spacing w:val="10"/>
          <w:sz w:val="18"/>
          <w:szCs w:val="18"/>
        </w:rPr>
        <w:t>,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hyperlink r:id="rId1" w:history="1">
        <w:r w:rsidR="00FA4CE8" w:rsidRPr="006E1A78">
          <w:rPr>
            <w:rStyle w:val="Hyperlink"/>
            <w:rFonts w:ascii="Palatino Linotype" w:hAnsi="Palatino Linotype"/>
            <w:spacing w:val="10"/>
            <w:sz w:val="18"/>
            <w:szCs w:val="18"/>
          </w:rPr>
          <w:t>http://www.countoncoal.org/states/</w:t>
        </w:r>
      </w:hyperlink>
      <w:r w:rsidR="00FA4CE8" w:rsidRPr="006E1A78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4">
    <w:p w14:paraId="5D985EB0" w14:textId="77777777" w:rsidR="00F27C22" w:rsidRPr="006E1A78" w:rsidRDefault="00F27C22" w:rsidP="00311582">
      <w:pPr>
        <w:pStyle w:val="Default"/>
        <w:spacing w:line="276" w:lineRule="auto"/>
        <w:jc w:val="both"/>
        <w:rPr>
          <w:rFonts w:ascii="Palatino Linotype" w:hAnsi="Palatino Linotype" w:cs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6E1A78">
        <w:rPr>
          <w:rFonts w:ascii="Palatino Linotype" w:hAnsi="Palatino Linotype" w:cs="Palatino Linotype"/>
          <w:spacing w:val="10"/>
          <w:sz w:val="18"/>
          <w:szCs w:val="18"/>
        </w:rPr>
        <w:t xml:space="preserve">Eugene M. Trisko, </w:t>
      </w:r>
      <w:r w:rsidRPr="006E1A78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 xml:space="preserve">Energy Cost Impacts on </w:t>
      </w:r>
      <w:r w:rsidR="009320E4" w:rsidRPr="006E1A78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>Kansas</w:t>
      </w:r>
      <w:r w:rsidRPr="006E1A78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 xml:space="preserve"> Families</w:t>
      </w:r>
      <w:r w:rsidRPr="006E1A78">
        <w:rPr>
          <w:rFonts w:ascii="Palatino Linotype" w:hAnsi="Palatino Linotype" w:cs="Palatino Linotype"/>
          <w:iCs/>
          <w:spacing w:val="10"/>
          <w:sz w:val="18"/>
          <w:szCs w:val="18"/>
        </w:rPr>
        <w:t xml:space="preserve">, </w:t>
      </w:r>
      <w:r w:rsidR="00446EF8" w:rsidRPr="006E1A78">
        <w:rPr>
          <w:rFonts w:ascii="Palatino Linotype" w:hAnsi="Palatino Linotype" w:cs="Palatino Linotype"/>
          <w:iCs/>
          <w:spacing w:val="10"/>
          <w:sz w:val="18"/>
          <w:szCs w:val="18"/>
        </w:rPr>
        <w:t>January 2014</w:t>
      </w:r>
      <w:r w:rsidRPr="006E1A78">
        <w:rPr>
          <w:rFonts w:ascii="Palatino Linotype" w:hAnsi="Palatino Linotype" w:cs="Palatino Linotype"/>
          <w:spacing w:val="10"/>
          <w:sz w:val="18"/>
          <w:szCs w:val="18"/>
        </w:rPr>
        <w:t xml:space="preserve">.  </w:t>
      </w:r>
    </w:p>
  </w:endnote>
  <w:endnote w:id="5">
    <w:p w14:paraId="5D985EB1" w14:textId="77777777" w:rsidR="00F27C22" w:rsidRPr="006E1A78" w:rsidRDefault="00F27C22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="00935C77" w:rsidRPr="006E1A78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6">
    <w:p w14:paraId="5D985EB2" w14:textId="77777777" w:rsidR="00546117" w:rsidRPr="006E1A78" w:rsidRDefault="00546117" w:rsidP="00311582">
      <w:pPr>
        <w:pStyle w:val="Default"/>
        <w:spacing w:line="276" w:lineRule="auto"/>
        <w:jc w:val="both"/>
        <w:rPr>
          <w:rFonts w:ascii="Palatino Linotype" w:hAnsi="Palatino Linotype" w:cs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="00935C77" w:rsidRPr="006E1A78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="00935C77" w:rsidRPr="006E1A78">
        <w:rPr>
          <w:rFonts w:ascii="Palatino Linotype" w:hAnsi="Palatino Linotype"/>
          <w:spacing w:val="10"/>
          <w:sz w:val="18"/>
          <w:szCs w:val="18"/>
        </w:rPr>
        <w:t xml:space="preserve"> and The 60 </w:t>
      </w:r>
      <w:proofErr w:type="gramStart"/>
      <w:r w:rsidR="00935C77" w:rsidRPr="006E1A78">
        <w:rPr>
          <w:rFonts w:ascii="Palatino Linotype" w:hAnsi="Palatino Linotype"/>
          <w:spacing w:val="10"/>
          <w:sz w:val="18"/>
          <w:szCs w:val="18"/>
        </w:rPr>
        <w:t>Plus</w:t>
      </w:r>
      <w:proofErr w:type="gramEnd"/>
      <w:r w:rsidR="00935C77" w:rsidRPr="006E1A78">
        <w:rPr>
          <w:rFonts w:ascii="Palatino Linotype" w:hAnsi="Palatino Linotype"/>
          <w:spacing w:val="10"/>
          <w:sz w:val="18"/>
          <w:szCs w:val="18"/>
        </w:rPr>
        <w:t xml:space="preserve"> Association, </w:t>
      </w:r>
      <w:r w:rsidR="00935C77" w:rsidRPr="006E1A78">
        <w:rPr>
          <w:rFonts w:ascii="Palatino Linotype" w:hAnsi="Palatino Linotype"/>
          <w:i/>
          <w:spacing w:val="10"/>
          <w:sz w:val="18"/>
          <w:szCs w:val="18"/>
        </w:rPr>
        <w:t>Energy Bills Challenge America’s Fixed-Income Seniors</w:t>
      </w:r>
      <w:r w:rsidR="00935C77" w:rsidRPr="006E1A78">
        <w:rPr>
          <w:rFonts w:ascii="Palatino Linotype" w:hAnsi="Palatino Linotype"/>
          <w:spacing w:val="10"/>
          <w:sz w:val="18"/>
          <w:szCs w:val="18"/>
        </w:rPr>
        <w:t>, 2014</w:t>
      </w:r>
      <w:r w:rsidRPr="006E1A78">
        <w:rPr>
          <w:rFonts w:ascii="Palatino Linotype" w:hAnsi="Palatino Linotype" w:cs="Palatino Linotype"/>
          <w:spacing w:val="10"/>
          <w:sz w:val="18"/>
          <w:szCs w:val="18"/>
        </w:rPr>
        <w:t xml:space="preserve">.  </w:t>
      </w:r>
    </w:p>
  </w:endnote>
  <w:endnote w:id="7">
    <w:p w14:paraId="5D985EB3" w14:textId="77777777" w:rsidR="005253A4" w:rsidRPr="006E1A78" w:rsidRDefault="005253A4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="00AF10E4" w:rsidRPr="006E1A78">
        <w:rPr>
          <w:rFonts w:ascii="Palatino Linotype" w:hAnsi="Palatino Linotype"/>
          <w:spacing w:val="10"/>
          <w:sz w:val="18"/>
          <w:szCs w:val="18"/>
        </w:rPr>
        <w:t xml:space="preserve">ACCCE, </w:t>
      </w:r>
      <w:r w:rsidR="00AF10E4" w:rsidRPr="006E1A78">
        <w:rPr>
          <w:rFonts w:ascii="Palatino Linotype" w:hAnsi="Palatino Linotype"/>
          <w:i/>
          <w:spacing w:val="10"/>
          <w:sz w:val="18"/>
          <w:szCs w:val="18"/>
        </w:rPr>
        <w:t xml:space="preserve">Coal Unit Shutdowns as of </w:t>
      </w:r>
      <w:r w:rsidR="00832FBA" w:rsidRPr="006E1A78">
        <w:rPr>
          <w:rFonts w:ascii="Palatino Linotype" w:hAnsi="Palatino Linotype"/>
          <w:i/>
          <w:spacing w:val="10"/>
          <w:sz w:val="18"/>
          <w:szCs w:val="18"/>
        </w:rPr>
        <w:t>October 23</w:t>
      </w:r>
      <w:r w:rsidR="00AF10E4" w:rsidRPr="006E1A78">
        <w:rPr>
          <w:rFonts w:ascii="Palatino Linotype" w:hAnsi="Palatino Linotype"/>
          <w:i/>
          <w:spacing w:val="10"/>
          <w:sz w:val="18"/>
          <w:szCs w:val="18"/>
        </w:rPr>
        <w:t>, 2014</w:t>
      </w:r>
      <w:r w:rsidR="00AF10E4" w:rsidRPr="006E1A78">
        <w:rPr>
          <w:rFonts w:ascii="Palatino Linotype" w:hAnsi="Palatino Linotype"/>
          <w:spacing w:val="10"/>
          <w:sz w:val="18"/>
          <w:szCs w:val="18"/>
        </w:rPr>
        <w:t xml:space="preserve">.  Retirements and conversions are based on </w:t>
      </w:r>
      <w:r w:rsidR="00ED48D4" w:rsidRPr="006E1A78">
        <w:rPr>
          <w:rFonts w:ascii="Palatino Linotype" w:hAnsi="Palatino Linotype"/>
          <w:spacing w:val="10"/>
          <w:sz w:val="18"/>
          <w:szCs w:val="18"/>
        </w:rPr>
        <w:t xml:space="preserve">public </w:t>
      </w:r>
      <w:r w:rsidR="00AF10E4" w:rsidRPr="006E1A78">
        <w:rPr>
          <w:rFonts w:ascii="Palatino Linotype" w:hAnsi="Palatino Linotype"/>
          <w:spacing w:val="10"/>
          <w:sz w:val="18"/>
          <w:szCs w:val="18"/>
        </w:rPr>
        <w:t>announcements by the coal unit owners.</w:t>
      </w:r>
    </w:p>
  </w:endnote>
  <w:endnote w:id="8">
    <w:p w14:paraId="5D985EB4" w14:textId="77777777" w:rsidR="00ED5ED6" w:rsidRPr="006E1A78" w:rsidRDefault="00ED5ED6" w:rsidP="00311582">
      <w:pPr>
        <w:pStyle w:val="Default"/>
        <w:spacing w:line="276" w:lineRule="auto"/>
        <w:jc w:val="both"/>
        <w:rPr>
          <w:rFonts w:ascii="Palatino Linotype" w:hAnsi="Palatino Linotype" w:cs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 The percentage reduction is relative to emission rates in 2012.  </w:t>
      </w:r>
      <w:r w:rsidRPr="006E1A78">
        <w:rPr>
          <w:rFonts w:ascii="Palatino Linotype" w:hAnsi="Palatino Linotype" w:cs="Palatino Linotype"/>
          <w:spacing w:val="10"/>
          <w:sz w:val="18"/>
          <w:szCs w:val="18"/>
        </w:rPr>
        <w:t xml:space="preserve">The </w:t>
      </w:r>
      <w:r w:rsidR="009320E4" w:rsidRPr="006E1A78">
        <w:rPr>
          <w:rFonts w:ascii="Palatino Linotype" w:hAnsi="Palatino Linotype" w:cs="Palatino Linotype"/>
          <w:spacing w:val="10"/>
          <w:sz w:val="18"/>
          <w:szCs w:val="18"/>
        </w:rPr>
        <w:t>Kansas</w:t>
      </w:r>
      <w:r w:rsidRPr="006E1A78">
        <w:rPr>
          <w:rFonts w:ascii="Palatino Linotype" w:hAnsi="Palatino Linotype" w:cs="Palatino Linotype"/>
          <w:spacing w:val="10"/>
          <w:sz w:val="18"/>
          <w:szCs w:val="18"/>
        </w:rPr>
        <w:t xml:space="preserve"> emissions rate goal is from Table 8, pages 346 – 348, of EPA’s proposal, and 2012 emission rates are found in EPA’s </w:t>
      </w:r>
      <w:r w:rsidRPr="006E1A78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>Goal Computation Technical Support Document</w:t>
      </w:r>
      <w:r w:rsidRPr="006E1A78">
        <w:rPr>
          <w:rFonts w:ascii="Palatino Linotype" w:hAnsi="Palatino Linotype" w:cs="Palatino Linotype"/>
          <w:spacing w:val="10"/>
          <w:sz w:val="18"/>
          <w:szCs w:val="18"/>
        </w:rPr>
        <w:t xml:space="preserve">, June 2014. http://www2.epa.gov/sites/production/files/2014-05/documents/20140602tsd-goal-computation.pdf.  </w:t>
      </w:r>
    </w:p>
  </w:endnote>
  <w:endnote w:id="9">
    <w:p w14:paraId="5D985EB5" w14:textId="055AF846" w:rsidR="00C7188F" w:rsidRPr="006E1A78" w:rsidRDefault="00C7188F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GHG Abatement Measures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technical support document, June 2014.  EPA assumes the heat rate of every coal-fired electric generating unit can be improved by</w:t>
      </w:r>
      <w:r w:rsidR="003F2822" w:rsidRPr="006E1A78">
        <w:rPr>
          <w:rFonts w:ascii="Palatino Linotype" w:hAnsi="Palatino Linotype"/>
          <w:spacing w:val="10"/>
          <w:sz w:val="18"/>
          <w:szCs w:val="18"/>
        </w:rPr>
        <w:t xml:space="preserve"> 6%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. </w:t>
      </w:r>
      <w:r w:rsidR="007E5EC4"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="007F39E3" w:rsidRPr="006E1A78">
        <w:rPr>
          <w:rFonts w:ascii="Palatino Linotype" w:hAnsi="Palatino Linotype"/>
          <w:spacing w:val="10"/>
          <w:sz w:val="18"/>
          <w:szCs w:val="18"/>
        </w:rPr>
        <w:t>While EPA</w:t>
      </w:r>
      <w:r w:rsidR="00311582" w:rsidRPr="006E1A78">
        <w:rPr>
          <w:rFonts w:ascii="Palatino Linotype" w:hAnsi="Palatino Linotype"/>
          <w:spacing w:val="10"/>
          <w:sz w:val="18"/>
          <w:szCs w:val="18"/>
        </w:rPr>
        <w:t xml:space="preserve"> did not assume any change in the utilization of coal and natural gas units in Kansas to </w:t>
      </w:r>
      <w:r w:rsidR="00311582" w:rsidRPr="006E1A78">
        <w:rPr>
          <w:rFonts w:ascii="Palatino Linotype" w:hAnsi="Palatino Linotype"/>
          <w:i/>
          <w:spacing w:val="10"/>
          <w:sz w:val="18"/>
          <w:szCs w:val="18"/>
        </w:rPr>
        <w:t xml:space="preserve">set </w:t>
      </w:r>
      <w:r w:rsidR="00311582" w:rsidRPr="006E1A78">
        <w:rPr>
          <w:rFonts w:ascii="Palatino Linotype" w:hAnsi="Palatino Linotype"/>
          <w:spacing w:val="10"/>
          <w:sz w:val="18"/>
          <w:szCs w:val="18"/>
        </w:rPr>
        <w:t xml:space="preserve">its emission targets, it does not mean </w:t>
      </w:r>
      <w:r w:rsidR="007F39E3" w:rsidRPr="006E1A78">
        <w:rPr>
          <w:rFonts w:ascii="Palatino Linotype" w:hAnsi="Palatino Linotype"/>
          <w:spacing w:val="10"/>
          <w:sz w:val="18"/>
          <w:szCs w:val="18"/>
        </w:rPr>
        <w:t>that coal</w:t>
      </w:r>
      <w:r w:rsidR="00311582" w:rsidRPr="006E1A78">
        <w:rPr>
          <w:rFonts w:ascii="Palatino Linotype" w:hAnsi="Palatino Linotype"/>
          <w:spacing w:val="10"/>
          <w:sz w:val="18"/>
          <w:szCs w:val="18"/>
        </w:rPr>
        <w:t xml:space="preserve"> and natural gas</w:t>
      </w:r>
      <w:r w:rsidR="007F39E3" w:rsidRPr="006E1A78">
        <w:rPr>
          <w:rFonts w:ascii="Palatino Linotype" w:hAnsi="Palatino Linotype"/>
          <w:spacing w:val="10"/>
          <w:sz w:val="18"/>
          <w:szCs w:val="18"/>
        </w:rPr>
        <w:t xml:space="preserve">-fired generation in Kansas would not need to change in order to </w:t>
      </w:r>
      <w:r w:rsidR="007F39E3" w:rsidRPr="006E1A78">
        <w:rPr>
          <w:rFonts w:ascii="Palatino Linotype" w:hAnsi="Palatino Linotype"/>
          <w:i/>
          <w:spacing w:val="10"/>
          <w:sz w:val="18"/>
          <w:szCs w:val="18"/>
        </w:rPr>
        <w:t>comply</w:t>
      </w:r>
      <w:r w:rsidR="007F39E3" w:rsidRPr="006E1A78">
        <w:rPr>
          <w:rFonts w:ascii="Palatino Linotype" w:hAnsi="Palatino Linotype"/>
          <w:spacing w:val="10"/>
          <w:sz w:val="18"/>
          <w:szCs w:val="18"/>
        </w:rPr>
        <w:t xml:space="preserve"> with the EPA target.</w:t>
      </w:r>
    </w:p>
  </w:endnote>
  <w:endnote w:id="10">
    <w:p w14:paraId="5D985EB6" w14:textId="2F7EC954" w:rsidR="00091951" w:rsidRPr="006E1A78" w:rsidRDefault="00091951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Technical Support Document (TSD) for the CAA Section 111(d) Emission Guidelines for Existing Power Plants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: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GHG Abatement Measures</w:t>
      </w:r>
      <w:r w:rsidR="005D16D9" w:rsidRPr="006E1A78">
        <w:rPr>
          <w:rFonts w:ascii="Palatino Linotype" w:hAnsi="Palatino Linotype"/>
          <w:spacing w:val="10"/>
          <w:sz w:val="18"/>
          <w:szCs w:val="18"/>
        </w:rPr>
        <w:t xml:space="preserve">, June </w:t>
      </w:r>
      <w:r w:rsidRPr="006E1A78">
        <w:rPr>
          <w:rFonts w:ascii="Palatino Linotype" w:hAnsi="Palatino Linotype"/>
          <w:spacing w:val="10"/>
          <w:sz w:val="18"/>
          <w:szCs w:val="18"/>
        </w:rPr>
        <w:t>2014, Table 4.9.</w:t>
      </w:r>
      <w:r w:rsidR="00573117" w:rsidRPr="006E1A78">
        <w:rPr>
          <w:rFonts w:ascii="Palatino Linotype" w:hAnsi="Palatino Linotype"/>
          <w:spacing w:val="10"/>
          <w:sz w:val="18"/>
          <w:szCs w:val="18"/>
        </w:rPr>
        <w:t xml:space="preserve">  </w:t>
      </w:r>
    </w:p>
  </w:endnote>
  <w:endnote w:id="11">
    <w:p w14:paraId="1721BB02" w14:textId="77777777" w:rsidR="003F6C4C" w:rsidRPr="006E1A78" w:rsidRDefault="003F6C4C" w:rsidP="00311582">
      <w:pPr>
        <w:spacing w:after="0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6E1A78">
        <w:rPr>
          <w:rFonts w:ascii="Palatino Linotype" w:hAnsi="Palatino Linotype"/>
          <w:i/>
          <w:iCs/>
          <w:spacing w:val="10"/>
          <w:sz w:val="18"/>
          <w:szCs w:val="18"/>
        </w:rPr>
        <w:t>Technical Support Document (TSD) for the CAA Section 111(d) Emission Guidelines for Existing Power Plants: Goal Computation Technical Support Document</w:t>
      </w:r>
      <w:r w:rsidRPr="006E1A78">
        <w:rPr>
          <w:rFonts w:ascii="Palatino Linotype" w:hAnsi="Palatino Linotype"/>
          <w:spacing w:val="10"/>
          <w:sz w:val="18"/>
          <w:szCs w:val="18"/>
        </w:rPr>
        <w:t>, June 2014, page 14.</w:t>
      </w:r>
    </w:p>
  </w:endnote>
  <w:endnote w:id="12">
    <w:p w14:paraId="5D985EB7" w14:textId="77777777" w:rsidR="00AE0743" w:rsidRPr="006E1A78" w:rsidRDefault="00AE0743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EPA,</w:t>
      </w:r>
      <w:r w:rsidR="00091951" w:rsidRPr="006E1A78">
        <w:rPr>
          <w:rFonts w:ascii="Palatino Linotype" w:hAnsi="Palatino Linotype"/>
          <w:i/>
          <w:spacing w:val="10"/>
          <w:sz w:val="18"/>
          <w:szCs w:val="18"/>
        </w:rPr>
        <w:t xml:space="preserve"> Regulatory Impact Analysis for the Proposed Carbon Pollution Guidelines for Existing Power Plants and Emission Standards for Modified and Reconstructed Power Plants</w:t>
      </w:r>
      <w:r w:rsidR="00091951" w:rsidRPr="006E1A78">
        <w:rPr>
          <w:rFonts w:ascii="Palatino Linotype" w:hAnsi="Palatino Linotype"/>
          <w:spacing w:val="10"/>
          <w:sz w:val="18"/>
          <w:szCs w:val="18"/>
        </w:rPr>
        <w:t>, June 2014, Table 3.3</w:t>
      </w:r>
      <w:r w:rsidRPr="006E1A78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13">
    <w:p w14:paraId="6E3E562B" w14:textId="77777777" w:rsidR="00AA263F" w:rsidRPr="006E1A78" w:rsidRDefault="00AA263F" w:rsidP="00AA263F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6E1A78">
        <w:rPr>
          <w:rFonts w:ascii="Palatino Linotype" w:hAnsi="Palatino Linotype"/>
          <w:bCs/>
          <w:i/>
          <w:spacing w:val="10"/>
          <w:sz w:val="18"/>
          <w:szCs w:val="18"/>
        </w:rPr>
        <w:t>Perspective of 18 States on Greenhouse Gas Emission Performance Standards for Existing Sources under § 111(d) of the Clean Air Act</w:t>
      </w:r>
      <w:r w:rsidRPr="006E1A78">
        <w:rPr>
          <w:rFonts w:ascii="Palatino Linotype" w:hAnsi="Palatino Linotype"/>
          <w:bCs/>
          <w:spacing w:val="10"/>
          <w:sz w:val="18"/>
          <w:szCs w:val="18"/>
        </w:rPr>
        <w:t xml:space="preserve">, </w:t>
      </w:r>
      <w:r w:rsidRPr="006E1A78">
        <w:rPr>
          <w:rFonts w:ascii="Palatino Linotype" w:hAnsi="Palatino Linotype"/>
          <w:spacing w:val="10"/>
          <w:sz w:val="18"/>
          <w:szCs w:val="18"/>
        </w:rPr>
        <w:t>signed by 17 Attorneys General and the Commissioner of the Indiana Department of Environmental Management, September 11, 2013.</w:t>
      </w:r>
    </w:p>
  </w:endnote>
  <w:endnote w:id="14">
    <w:p w14:paraId="3491693F" w14:textId="74799BF0" w:rsidR="00673F60" w:rsidRPr="006E1A78" w:rsidRDefault="00673F60" w:rsidP="005F5A9C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Petition for Review, </w:t>
      </w:r>
      <w:r w:rsidRPr="006E1A78">
        <w:rPr>
          <w:rFonts w:ascii="Palatino Linotype" w:hAnsi="Palatino Linotype"/>
          <w:i/>
          <w:iCs/>
          <w:spacing w:val="10"/>
          <w:sz w:val="18"/>
          <w:szCs w:val="18"/>
        </w:rPr>
        <w:t>West Virginia v. EPA</w:t>
      </w:r>
      <w:r w:rsidRPr="006E1A78">
        <w:rPr>
          <w:rFonts w:ascii="Palatino Linotype" w:hAnsi="Palatino Linotype"/>
          <w:spacing w:val="10"/>
          <w:sz w:val="18"/>
          <w:szCs w:val="18"/>
        </w:rPr>
        <w:t>, Case No 14-1146 (D.C. Cir. filed Aug. 1, 2014)</w:t>
      </w:r>
    </w:p>
  </w:endnote>
  <w:endnote w:id="15">
    <w:p w14:paraId="5D985EB8" w14:textId="77777777" w:rsidR="00450A26" w:rsidRPr="006E1A78" w:rsidRDefault="00450A26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NERA Economic Consulting,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Potential Impacts of the EPA Clean Power Plan</w:t>
      </w:r>
      <w:r w:rsidR="001E2696" w:rsidRPr="006E1A78">
        <w:rPr>
          <w:rFonts w:ascii="Palatino Linotype" w:hAnsi="Palatino Linotype"/>
          <w:spacing w:val="10"/>
          <w:sz w:val="18"/>
          <w:szCs w:val="18"/>
        </w:rPr>
        <w:t>, October 2014</w:t>
      </w:r>
      <w:r w:rsidRPr="006E1A78">
        <w:rPr>
          <w:rFonts w:ascii="Palatino Linotype" w:hAnsi="Palatino Linotype"/>
          <w:spacing w:val="10"/>
          <w:sz w:val="18"/>
          <w:szCs w:val="18"/>
        </w:rPr>
        <w:t>.  An annual average increase of 1</w:t>
      </w:r>
      <w:r w:rsidR="00211D54" w:rsidRPr="006E1A78">
        <w:rPr>
          <w:rFonts w:ascii="Palatino Linotype" w:hAnsi="Palatino Linotype"/>
          <w:spacing w:val="10"/>
          <w:sz w:val="18"/>
          <w:szCs w:val="18"/>
        </w:rPr>
        <w:t>2</w:t>
      </w:r>
      <w:r w:rsidRPr="006E1A78">
        <w:rPr>
          <w:rFonts w:ascii="Palatino Linotype" w:hAnsi="Palatino Linotype"/>
          <w:spacing w:val="10"/>
          <w:sz w:val="18"/>
          <w:szCs w:val="18"/>
        </w:rPr>
        <w:t>% means that electricity prices are projected to be 1</w:t>
      </w:r>
      <w:r w:rsidR="00211D54" w:rsidRPr="006E1A78">
        <w:rPr>
          <w:rFonts w:ascii="Palatino Linotype" w:hAnsi="Palatino Linotype"/>
          <w:spacing w:val="10"/>
          <w:sz w:val="18"/>
          <w:szCs w:val="18"/>
        </w:rPr>
        <w:t>2</w:t>
      </w:r>
      <w:r w:rsidRPr="006E1A78">
        <w:rPr>
          <w:rFonts w:ascii="Palatino Linotype" w:hAnsi="Palatino Linotype"/>
          <w:spacing w:val="10"/>
          <w:sz w:val="18"/>
          <w:szCs w:val="18"/>
        </w:rPr>
        <w:t>% higher each year, on average, under EPA’s proposal than electricity prices would be in the absence of the proposal.</w:t>
      </w:r>
    </w:p>
  </w:endnote>
  <w:endnote w:id="16">
    <w:p w14:paraId="5D985EB9" w14:textId="77777777" w:rsidR="00ED48D4" w:rsidRPr="006E1A78" w:rsidRDefault="00ED48D4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EPA Clean Power Plan: Costs and Impacts on U.S. Energy Markets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, Energy Ventures Analysis, August 2014   </w:t>
      </w:r>
      <w:hyperlink r:id="rId2" w:history="1">
        <w:r w:rsidRPr="006E1A78">
          <w:rPr>
            <w:rStyle w:val="Hyperlink"/>
            <w:rFonts w:ascii="Palatino Linotype" w:hAnsi="Palatino Linotype"/>
            <w:spacing w:val="10"/>
            <w:sz w:val="18"/>
            <w:szCs w:val="18"/>
          </w:rPr>
          <w:t>http://www.countoncoal.org/states/</w:t>
        </w:r>
      </w:hyperlink>
    </w:p>
  </w:endnote>
  <w:endnote w:id="17">
    <w:p w14:paraId="5D985EBA" w14:textId="77777777" w:rsidR="00935C77" w:rsidRPr="006E1A78" w:rsidRDefault="00935C77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NERA Economic Consulting,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Potential Impacts of the EPA Clean Power Plan</w:t>
      </w:r>
      <w:r w:rsidR="00FA178E" w:rsidRPr="006E1A78">
        <w:rPr>
          <w:rFonts w:ascii="Palatino Linotype" w:hAnsi="Palatino Linotype"/>
          <w:spacing w:val="10"/>
          <w:sz w:val="18"/>
          <w:szCs w:val="18"/>
        </w:rPr>
        <w:t>, October 2014</w:t>
      </w:r>
      <w:r w:rsidRPr="006E1A78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18">
    <w:p w14:paraId="5D985EBB" w14:textId="2DFE6C97" w:rsidR="00A67B13" w:rsidRPr="006E1A78" w:rsidRDefault="00A67B13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Southwest Power Pool,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Grid Reliability and Transmission Buildout Issues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, presentation to </w:t>
      </w:r>
      <w:r w:rsidR="004D3C7A" w:rsidRPr="006E1A78">
        <w:rPr>
          <w:rFonts w:ascii="Palatino Linotype" w:hAnsi="Palatino Linotype"/>
          <w:spacing w:val="10"/>
          <w:sz w:val="18"/>
          <w:szCs w:val="18"/>
        </w:rPr>
        <w:t>Arkansas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DEQ Stakeholder Meeting, October 1, 2014; Midwest Independent System Operator,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Clean Power Plan: MISO Analysis Update for ADEQ/APSC Stakeholder Meeting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, October 1, 2014; and American Electric Power,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Transmission Challenges with the Clean Power Plan</w:t>
      </w:r>
      <w:r w:rsidRPr="006E1A78">
        <w:rPr>
          <w:rFonts w:ascii="Palatino Linotype" w:hAnsi="Palatino Linotype"/>
          <w:spacing w:val="10"/>
          <w:sz w:val="18"/>
          <w:szCs w:val="18"/>
        </w:rPr>
        <w:t>, September 2014.</w:t>
      </w:r>
    </w:p>
  </w:endnote>
  <w:endnote w:id="19">
    <w:p w14:paraId="5D985EBC" w14:textId="77777777" w:rsidR="0049017F" w:rsidRPr="006E1A78" w:rsidRDefault="0049017F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IPCC, </w:t>
      </w:r>
      <w:r w:rsidRPr="006E1A78">
        <w:rPr>
          <w:rFonts w:ascii="Palatino Linotype" w:hAnsi="Palatino Linotype"/>
          <w:i/>
          <w:iCs/>
          <w:spacing w:val="10"/>
          <w:sz w:val="18"/>
          <w:szCs w:val="18"/>
        </w:rPr>
        <w:t>Climate Change 2014: Mitigation of Climate Change: Contribution of Working Group III to the Fifth Assessment Report of the Intergovernmental Panel on Climate Change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; EIA, </w:t>
      </w:r>
      <w:r w:rsidRPr="006E1A78">
        <w:rPr>
          <w:rFonts w:ascii="Palatino Linotype" w:hAnsi="Palatino Linotype"/>
          <w:i/>
          <w:iCs/>
          <w:spacing w:val="10"/>
          <w:sz w:val="18"/>
          <w:szCs w:val="18"/>
        </w:rPr>
        <w:t>Monthly Energy Review</w:t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, February 2014.  </w:t>
      </w:r>
    </w:p>
  </w:endnote>
  <w:endnote w:id="20">
    <w:p w14:paraId="5D985EBE" w14:textId="77777777" w:rsidR="00B5741E" w:rsidRPr="006E1A78" w:rsidRDefault="00B5741E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ACCCE, </w:t>
      </w:r>
      <w:r w:rsidRPr="006E1A78">
        <w:rPr>
          <w:rFonts w:ascii="Palatino Linotype" w:hAnsi="Palatino Linotype"/>
          <w:i/>
          <w:spacing w:val="10"/>
          <w:sz w:val="18"/>
          <w:szCs w:val="18"/>
        </w:rPr>
        <w:t>Climate Effects of EPA’s Proposed Carbon Regulations</w:t>
      </w:r>
      <w:r w:rsidRPr="006E1A78">
        <w:rPr>
          <w:rFonts w:ascii="Palatino Linotype" w:hAnsi="Palatino Linotype"/>
          <w:spacing w:val="10"/>
          <w:sz w:val="18"/>
          <w:szCs w:val="18"/>
        </w:rPr>
        <w:t>, June 2014.</w:t>
      </w:r>
    </w:p>
  </w:endnote>
  <w:endnote w:id="21">
    <w:p w14:paraId="5D985EBF" w14:textId="77777777" w:rsidR="004C1D55" w:rsidRPr="00673F60" w:rsidRDefault="004C1D55" w:rsidP="00311582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6E1A78">
        <w:rPr>
          <w:rFonts w:ascii="Palatino Linotype" w:hAnsi="Palatino Linotype"/>
          <w:spacing w:val="10"/>
          <w:sz w:val="18"/>
          <w:szCs w:val="18"/>
          <w:vertAlign w:val="superscript"/>
        </w:rPr>
        <w:endnoteRef/>
      </w:r>
      <w:r w:rsidRPr="006E1A78">
        <w:rPr>
          <w:rFonts w:ascii="Palatino Linotype" w:hAnsi="Palatino Linotype"/>
          <w:spacing w:val="10"/>
          <w:sz w:val="18"/>
          <w:szCs w:val="18"/>
        </w:rPr>
        <w:t xml:space="preserve"> Steven Mufson, All over the planet, countries are completely missing their emissions targets, (September 23, 2014) http://www.washingtonpost.com/blogs/wonkblog/wp/2014/09/23/all-over-the-planet-countries-are-completely-missing-their-emissions-targets/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83250"/>
      <w:docPartObj>
        <w:docPartGallery w:val="Page Numbers (Bottom of Page)"/>
        <w:docPartUnique/>
      </w:docPartObj>
    </w:sdtPr>
    <w:sdtEndPr>
      <w:rPr>
        <w:rFonts w:ascii="Palatino Linotype" w:hAnsi="Palatino Linotype"/>
        <w:spacing w:val="10"/>
        <w:sz w:val="18"/>
      </w:rPr>
    </w:sdtEndPr>
    <w:sdtContent>
      <w:p w14:paraId="5D985EAB" w14:textId="77777777" w:rsidR="00041975" w:rsidRPr="00041975" w:rsidRDefault="00041975">
        <w:pPr>
          <w:pStyle w:val="Footer"/>
          <w:jc w:val="right"/>
          <w:rPr>
            <w:rFonts w:ascii="Palatino Linotype" w:hAnsi="Palatino Linotype"/>
            <w:spacing w:val="10"/>
            <w:sz w:val="18"/>
          </w:rPr>
        </w:pPr>
        <w:r w:rsidRPr="00041975">
          <w:rPr>
            <w:rFonts w:ascii="Palatino Linotype" w:hAnsi="Palatino Linotype"/>
            <w:spacing w:val="10"/>
            <w:sz w:val="18"/>
          </w:rPr>
          <w:t xml:space="preserve">Page | </w:t>
        </w:r>
        <w:r w:rsidRPr="00041975">
          <w:rPr>
            <w:rFonts w:ascii="Palatino Linotype" w:hAnsi="Palatino Linotype"/>
            <w:spacing w:val="10"/>
            <w:sz w:val="18"/>
          </w:rPr>
          <w:fldChar w:fldCharType="begin"/>
        </w:r>
        <w:r w:rsidRPr="00041975">
          <w:rPr>
            <w:rFonts w:ascii="Palatino Linotype" w:hAnsi="Palatino Linotype"/>
            <w:spacing w:val="10"/>
            <w:sz w:val="18"/>
          </w:rPr>
          <w:instrText xml:space="preserve"> PAGE   \* MERGEFORMAT </w:instrText>
        </w:r>
        <w:r w:rsidRPr="00041975">
          <w:rPr>
            <w:rFonts w:ascii="Palatino Linotype" w:hAnsi="Palatino Linotype"/>
            <w:spacing w:val="10"/>
            <w:sz w:val="18"/>
          </w:rPr>
          <w:fldChar w:fldCharType="separate"/>
        </w:r>
        <w:r w:rsidR="006E1A78">
          <w:rPr>
            <w:rFonts w:ascii="Palatino Linotype" w:hAnsi="Palatino Linotype"/>
            <w:noProof/>
            <w:spacing w:val="10"/>
            <w:sz w:val="18"/>
          </w:rPr>
          <w:t>1</w:t>
        </w:r>
        <w:r w:rsidRPr="00041975">
          <w:rPr>
            <w:rFonts w:ascii="Palatino Linotype" w:hAnsi="Palatino Linotype"/>
            <w:noProof/>
            <w:spacing w:val="10"/>
            <w:sz w:val="18"/>
          </w:rPr>
          <w:fldChar w:fldCharType="end"/>
        </w:r>
        <w:r w:rsidRPr="00041975">
          <w:rPr>
            <w:rFonts w:ascii="Palatino Linotype" w:hAnsi="Palatino Linotype"/>
            <w:spacing w:val="10"/>
            <w:sz w:val="18"/>
          </w:rPr>
          <w:t xml:space="preserve"> </w:t>
        </w:r>
      </w:p>
    </w:sdtContent>
  </w:sdt>
  <w:p w14:paraId="5D985EAC" w14:textId="77777777" w:rsidR="00A8477F" w:rsidRDefault="00A84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210A4" w14:textId="77777777" w:rsidR="00D73870" w:rsidRDefault="00D73870" w:rsidP="00273C05">
      <w:pPr>
        <w:spacing w:after="0" w:line="240" w:lineRule="auto"/>
      </w:pPr>
      <w:r>
        <w:separator/>
      </w:r>
    </w:p>
  </w:footnote>
  <w:footnote w:type="continuationSeparator" w:id="0">
    <w:p w14:paraId="27CB3017" w14:textId="77777777" w:rsidR="00D73870" w:rsidRDefault="00D73870" w:rsidP="0027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D"/>
    <w:multiLevelType w:val="hybridMultilevel"/>
    <w:tmpl w:val="21D2D418"/>
    <w:lvl w:ilvl="0" w:tplc="25B6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E12"/>
    <w:multiLevelType w:val="hybridMultilevel"/>
    <w:tmpl w:val="5B0A2C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E7417"/>
    <w:multiLevelType w:val="hybridMultilevel"/>
    <w:tmpl w:val="BE5A3530"/>
    <w:lvl w:ilvl="0" w:tplc="C0AC1916">
      <w:start w:val="1"/>
      <w:numFmt w:val="bullet"/>
      <w:lvlText w:val="‒"/>
      <w:lvlJc w:val="left"/>
      <w:pPr>
        <w:ind w:left="2520" w:hanging="360"/>
      </w:pPr>
      <w:rPr>
        <w:rFonts w:ascii="Palatino Linotype" w:hAnsi="Palatino Linotype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2B72588"/>
    <w:multiLevelType w:val="hybridMultilevel"/>
    <w:tmpl w:val="1D905E58"/>
    <w:lvl w:ilvl="0" w:tplc="25B63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FE327E"/>
    <w:multiLevelType w:val="hybridMultilevel"/>
    <w:tmpl w:val="8B6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E5EAB"/>
    <w:multiLevelType w:val="hybridMultilevel"/>
    <w:tmpl w:val="0CF0BBFA"/>
    <w:lvl w:ilvl="0" w:tplc="8870C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7DD48C44">
      <w:start w:val="1"/>
      <w:numFmt w:val="bullet"/>
      <w:lvlText w:val="‒"/>
      <w:lvlJc w:val="right"/>
      <w:pPr>
        <w:ind w:left="1080" w:hanging="360"/>
      </w:pPr>
      <w:rPr>
        <w:rFonts w:ascii="Palatino Linotype" w:hAnsi="Palatino Linotype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790FE2"/>
    <w:multiLevelType w:val="hybridMultilevel"/>
    <w:tmpl w:val="F8AEB042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C90BCC"/>
    <w:multiLevelType w:val="hybridMultilevel"/>
    <w:tmpl w:val="696014C8"/>
    <w:lvl w:ilvl="0" w:tplc="8870C406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>
    <w:nsid w:val="2A333125"/>
    <w:multiLevelType w:val="hybridMultilevel"/>
    <w:tmpl w:val="5EBEF926"/>
    <w:lvl w:ilvl="0" w:tplc="8870C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752B9E"/>
    <w:multiLevelType w:val="hybridMultilevel"/>
    <w:tmpl w:val="0832B4A4"/>
    <w:lvl w:ilvl="0" w:tplc="8870C40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47D4A35"/>
    <w:multiLevelType w:val="hybridMultilevel"/>
    <w:tmpl w:val="167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06080"/>
    <w:multiLevelType w:val="hybridMultilevel"/>
    <w:tmpl w:val="A5B0EC8A"/>
    <w:lvl w:ilvl="0" w:tplc="8870C40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C5C6596"/>
    <w:multiLevelType w:val="hybridMultilevel"/>
    <w:tmpl w:val="E2EE602A"/>
    <w:lvl w:ilvl="0" w:tplc="7DD48C44">
      <w:start w:val="1"/>
      <w:numFmt w:val="bullet"/>
      <w:lvlText w:val="‒"/>
      <w:lvlJc w:val="right"/>
      <w:pPr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4412F4"/>
    <w:multiLevelType w:val="hybridMultilevel"/>
    <w:tmpl w:val="C1CE801E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587290"/>
    <w:multiLevelType w:val="hybridMultilevel"/>
    <w:tmpl w:val="9E4EBFFC"/>
    <w:lvl w:ilvl="0" w:tplc="2542B0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8622AE"/>
    <w:multiLevelType w:val="hybridMultilevel"/>
    <w:tmpl w:val="4768DB7C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3E789C"/>
    <w:multiLevelType w:val="hybridMultilevel"/>
    <w:tmpl w:val="D77ADA6E"/>
    <w:lvl w:ilvl="0" w:tplc="25B63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E22EAA"/>
    <w:multiLevelType w:val="hybridMultilevel"/>
    <w:tmpl w:val="B9D48362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C562822"/>
    <w:multiLevelType w:val="hybridMultilevel"/>
    <w:tmpl w:val="D81C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170A78"/>
    <w:multiLevelType w:val="hybridMultilevel"/>
    <w:tmpl w:val="F54E5734"/>
    <w:lvl w:ilvl="0" w:tplc="B1F218E2">
      <w:start w:val="1"/>
      <w:numFmt w:val="bullet"/>
      <w:lvlText w:val=""/>
      <w:lvlJc w:val="left"/>
      <w:pPr>
        <w:ind w:left="5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>
    <w:nsid w:val="62407BC3"/>
    <w:multiLevelType w:val="hybridMultilevel"/>
    <w:tmpl w:val="967450F2"/>
    <w:lvl w:ilvl="0" w:tplc="E130776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1">
    <w:nsid w:val="66A216A9"/>
    <w:multiLevelType w:val="hybridMultilevel"/>
    <w:tmpl w:val="0DF4A3B0"/>
    <w:lvl w:ilvl="0" w:tplc="25B6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C1583"/>
    <w:multiLevelType w:val="hybridMultilevel"/>
    <w:tmpl w:val="DAA68DE2"/>
    <w:lvl w:ilvl="0" w:tplc="C0AC1916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66F84"/>
    <w:multiLevelType w:val="hybridMultilevel"/>
    <w:tmpl w:val="B2FCF836"/>
    <w:lvl w:ilvl="0" w:tplc="8870C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D5069D"/>
    <w:multiLevelType w:val="hybridMultilevel"/>
    <w:tmpl w:val="AC9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432E4"/>
    <w:multiLevelType w:val="hybridMultilevel"/>
    <w:tmpl w:val="196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93DB9"/>
    <w:multiLevelType w:val="hybridMultilevel"/>
    <w:tmpl w:val="4CDE4926"/>
    <w:lvl w:ilvl="0" w:tplc="25B6302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7D881E63"/>
    <w:multiLevelType w:val="hybridMultilevel"/>
    <w:tmpl w:val="0570D8B8"/>
    <w:lvl w:ilvl="0" w:tplc="C0AC1916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5"/>
  </w:num>
  <w:num w:numId="4">
    <w:abstractNumId w:val="4"/>
  </w:num>
  <w:num w:numId="5">
    <w:abstractNumId w:val="24"/>
  </w:num>
  <w:num w:numId="6">
    <w:abstractNumId w:val="10"/>
  </w:num>
  <w:num w:numId="7">
    <w:abstractNumId w:val="15"/>
  </w:num>
  <w:num w:numId="8">
    <w:abstractNumId w:val="17"/>
  </w:num>
  <w:num w:numId="9">
    <w:abstractNumId w:val="6"/>
  </w:num>
  <w:num w:numId="10">
    <w:abstractNumId w:val="13"/>
  </w:num>
  <w:num w:numId="11">
    <w:abstractNumId w:val="3"/>
  </w:num>
  <w:num w:numId="12">
    <w:abstractNumId w:val="21"/>
  </w:num>
  <w:num w:numId="13">
    <w:abstractNumId w:val="11"/>
  </w:num>
  <w:num w:numId="14">
    <w:abstractNumId w:val="0"/>
  </w:num>
  <w:num w:numId="15">
    <w:abstractNumId w:val="27"/>
  </w:num>
  <w:num w:numId="16">
    <w:abstractNumId w:val="16"/>
  </w:num>
  <w:num w:numId="17">
    <w:abstractNumId w:val="26"/>
  </w:num>
  <w:num w:numId="18">
    <w:abstractNumId w:val="20"/>
  </w:num>
  <w:num w:numId="19">
    <w:abstractNumId w:val="22"/>
  </w:num>
  <w:num w:numId="20">
    <w:abstractNumId w:val="2"/>
  </w:num>
  <w:num w:numId="21">
    <w:abstractNumId w:val="7"/>
  </w:num>
  <w:num w:numId="22">
    <w:abstractNumId w:val="14"/>
  </w:num>
  <w:num w:numId="23">
    <w:abstractNumId w:val="12"/>
  </w:num>
  <w:num w:numId="24">
    <w:abstractNumId w:val="8"/>
  </w:num>
  <w:num w:numId="25">
    <w:abstractNumId w:val="9"/>
  </w:num>
  <w:num w:numId="26">
    <w:abstractNumId w:val="23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60"/>
    <w:rsid w:val="000021EC"/>
    <w:rsid w:val="00011BF8"/>
    <w:rsid w:val="0002405C"/>
    <w:rsid w:val="00024D3F"/>
    <w:rsid w:val="00026762"/>
    <w:rsid w:val="00032EB3"/>
    <w:rsid w:val="00040FBD"/>
    <w:rsid w:val="00041975"/>
    <w:rsid w:val="00041E30"/>
    <w:rsid w:val="00052AA2"/>
    <w:rsid w:val="00060235"/>
    <w:rsid w:val="000610BA"/>
    <w:rsid w:val="00062591"/>
    <w:rsid w:val="00064B29"/>
    <w:rsid w:val="00073DB2"/>
    <w:rsid w:val="00074F0D"/>
    <w:rsid w:val="00080460"/>
    <w:rsid w:val="00091951"/>
    <w:rsid w:val="000B0B9E"/>
    <w:rsid w:val="000C3307"/>
    <w:rsid w:val="000C7846"/>
    <w:rsid w:val="000E0959"/>
    <w:rsid w:val="001023BF"/>
    <w:rsid w:val="00120995"/>
    <w:rsid w:val="00121445"/>
    <w:rsid w:val="0012306D"/>
    <w:rsid w:val="001265D7"/>
    <w:rsid w:val="00142BE7"/>
    <w:rsid w:val="00146564"/>
    <w:rsid w:val="0015312F"/>
    <w:rsid w:val="00155D71"/>
    <w:rsid w:val="001566D5"/>
    <w:rsid w:val="001759AE"/>
    <w:rsid w:val="00177624"/>
    <w:rsid w:val="001932BA"/>
    <w:rsid w:val="001959E6"/>
    <w:rsid w:val="001966D3"/>
    <w:rsid w:val="001A2EFC"/>
    <w:rsid w:val="001C69F7"/>
    <w:rsid w:val="001E2696"/>
    <w:rsid w:val="001E34AB"/>
    <w:rsid w:val="001E52B1"/>
    <w:rsid w:val="001F0691"/>
    <w:rsid w:val="001F7AF7"/>
    <w:rsid w:val="00200D88"/>
    <w:rsid w:val="002039BB"/>
    <w:rsid w:val="00203A34"/>
    <w:rsid w:val="00205C2E"/>
    <w:rsid w:val="00211D54"/>
    <w:rsid w:val="002179D5"/>
    <w:rsid w:val="00224A8C"/>
    <w:rsid w:val="0023571F"/>
    <w:rsid w:val="0024209D"/>
    <w:rsid w:val="0024619A"/>
    <w:rsid w:val="002518B4"/>
    <w:rsid w:val="00257CE5"/>
    <w:rsid w:val="00261336"/>
    <w:rsid w:val="0026737B"/>
    <w:rsid w:val="00271E34"/>
    <w:rsid w:val="00273AA6"/>
    <w:rsid w:val="00273C05"/>
    <w:rsid w:val="002845AB"/>
    <w:rsid w:val="00290738"/>
    <w:rsid w:val="002B0A23"/>
    <w:rsid w:val="002B4982"/>
    <w:rsid w:val="002B56AF"/>
    <w:rsid w:val="002C0941"/>
    <w:rsid w:val="002F471A"/>
    <w:rsid w:val="00311582"/>
    <w:rsid w:val="0031758E"/>
    <w:rsid w:val="00317BE5"/>
    <w:rsid w:val="003363DB"/>
    <w:rsid w:val="00340814"/>
    <w:rsid w:val="00356E15"/>
    <w:rsid w:val="00360F8D"/>
    <w:rsid w:val="00387EFE"/>
    <w:rsid w:val="003911B4"/>
    <w:rsid w:val="00394EC0"/>
    <w:rsid w:val="003A24D1"/>
    <w:rsid w:val="003B0DA5"/>
    <w:rsid w:val="003B4BE1"/>
    <w:rsid w:val="003B65E1"/>
    <w:rsid w:val="003D52CB"/>
    <w:rsid w:val="003E0CC1"/>
    <w:rsid w:val="003E45A7"/>
    <w:rsid w:val="003F20FE"/>
    <w:rsid w:val="003F2822"/>
    <w:rsid w:val="003F4BD7"/>
    <w:rsid w:val="003F6B63"/>
    <w:rsid w:val="003F6C4C"/>
    <w:rsid w:val="00406745"/>
    <w:rsid w:val="00422192"/>
    <w:rsid w:val="00432782"/>
    <w:rsid w:val="004353F1"/>
    <w:rsid w:val="004420FA"/>
    <w:rsid w:val="00446EF8"/>
    <w:rsid w:val="00450A26"/>
    <w:rsid w:val="00457742"/>
    <w:rsid w:val="004633CF"/>
    <w:rsid w:val="00476054"/>
    <w:rsid w:val="0049017F"/>
    <w:rsid w:val="00494ADC"/>
    <w:rsid w:val="004963D0"/>
    <w:rsid w:val="004A1F73"/>
    <w:rsid w:val="004A766B"/>
    <w:rsid w:val="004B618A"/>
    <w:rsid w:val="004C1D55"/>
    <w:rsid w:val="004D3C7A"/>
    <w:rsid w:val="004E45D9"/>
    <w:rsid w:val="004E52D7"/>
    <w:rsid w:val="004F45E6"/>
    <w:rsid w:val="005140BB"/>
    <w:rsid w:val="00515B3C"/>
    <w:rsid w:val="005253A4"/>
    <w:rsid w:val="00540F4F"/>
    <w:rsid w:val="00546117"/>
    <w:rsid w:val="00555D27"/>
    <w:rsid w:val="00560E66"/>
    <w:rsid w:val="005653C8"/>
    <w:rsid w:val="00573117"/>
    <w:rsid w:val="00584063"/>
    <w:rsid w:val="005A520A"/>
    <w:rsid w:val="005B4147"/>
    <w:rsid w:val="005B4F05"/>
    <w:rsid w:val="005D16D9"/>
    <w:rsid w:val="005D75FD"/>
    <w:rsid w:val="005F0B60"/>
    <w:rsid w:val="005F1E33"/>
    <w:rsid w:val="005F228D"/>
    <w:rsid w:val="005F2FF8"/>
    <w:rsid w:val="005F5A9C"/>
    <w:rsid w:val="006007E5"/>
    <w:rsid w:val="00611622"/>
    <w:rsid w:val="006122FA"/>
    <w:rsid w:val="0062112A"/>
    <w:rsid w:val="00631747"/>
    <w:rsid w:val="00632876"/>
    <w:rsid w:val="00634899"/>
    <w:rsid w:val="00640F05"/>
    <w:rsid w:val="00644C1E"/>
    <w:rsid w:val="006544D9"/>
    <w:rsid w:val="00673F60"/>
    <w:rsid w:val="00680B38"/>
    <w:rsid w:val="0069123D"/>
    <w:rsid w:val="006945C3"/>
    <w:rsid w:val="00695880"/>
    <w:rsid w:val="006959EF"/>
    <w:rsid w:val="00697767"/>
    <w:rsid w:val="006A71C5"/>
    <w:rsid w:val="006B165B"/>
    <w:rsid w:val="006B1701"/>
    <w:rsid w:val="006B25A5"/>
    <w:rsid w:val="006C486D"/>
    <w:rsid w:val="006E1A78"/>
    <w:rsid w:val="006F4BE4"/>
    <w:rsid w:val="00701597"/>
    <w:rsid w:val="00706520"/>
    <w:rsid w:val="00725207"/>
    <w:rsid w:val="0073419E"/>
    <w:rsid w:val="0075659C"/>
    <w:rsid w:val="00771E85"/>
    <w:rsid w:val="007733FB"/>
    <w:rsid w:val="0079157F"/>
    <w:rsid w:val="00796967"/>
    <w:rsid w:val="007A6C14"/>
    <w:rsid w:val="007B212B"/>
    <w:rsid w:val="007B35DA"/>
    <w:rsid w:val="007D3A53"/>
    <w:rsid w:val="007D66D2"/>
    <w:rsid w:val="007E0CAE"/>
    <w:rsid w:val="007E1275"/>
    <w:rsid w:val="007E136C"/>
    <w:rsid w:val="007E1DCB"/>
    <w:rsid w:val="007E5EC4"/>
    <w:rsid w:val="007F39E3"/>
    <w:rsid w:val="007F5DC6"/>
    <w:rsid w:val="007F74F5"/>
    <w:rsid w:val="0080542F"/>
    <w:rsid w:val="00813AD4"/>
    <w:rsid w:val="008252C2"/>
    <w:rsid w:val="00830420"/>
    <w:rsid w:val="00830B62"/>
    <w:rsid w:val="00832FBA"/>
    <w:rsid w:val="00834D0A"/>
    <w:rsid w:val="00840DFA"/>
    <w:rsid w:val="00851DBC"/>
    <w:rsid w:val="0085351D"/>
    <w:rsid w:val="00854D8B"/>
    <w:rsid w:val="00854F55"/>
    <w:rsid w:val="00856824"/>
    <w:rsid w:val="00863217"/>
    <w:rsid w:val="00863ED1"/>
    <w:rsid w:val="008647BE"/>
    <w:rsid w:val="008902D7"/>
    <w:rsid w:val="008939B6"/>
    <w:rsid w:val="008A2352"/>
    <w:rsid w:val="008A3D0B"/>
    <w:rsid w:val="008B1056"/>
    <w:rsid w:val="008B1089"/>
    <w:rsid w:val="008E06CB"/>
    <w:rsid w:val="008E5920"/>
    <w:rsid w:val="008E6500"/>
    <w:rsid w:val="008F6990"/>
    <w:rsid w:val="009000BC"/>
    <w:rsid w:val="00905924"/>
    <w:rsid w:val="00912682"/>
    <w:rsid w:val="00931827"/>
    <w:rsid w:val="009320E4"/>
    <w:rsid w:val="00934B19"/>
    <w:rsid w:val="0093545E"/>
    <w:rsid w:val="00935C77"/>
    <w:rsid w:val="00941DC7"/>
    <w:rsid w:val="009544DA"/>
    <w:rsid w:val="00965164"/>
    <w:rsid w:val="00965CE3"/>
    <w:rsid w:val="009661C3"/>
    <w:rsid w:val="009745C5"/>
    <w:rsid w:val="0097681B"/>
    <w:rsid w:val="0097707B"/>
    <w:rsid w:val="00986909"/>
    <w:rsid w:val="00997738"/>
    <w:rsid w:val="009B7228"/>
    <w:rsid w:val="009B746E"/>
    <w:rsid w:val="009F447D"/>
    <w:rsid w:val="009F688A"/>
    <w:rsid w:val="009F69FA"/>
    <w:rsid w:val="00A13999"/>
    <w:rsid w:val="00A1431F"/>
    <w:rsid w:val="00A172D0"/>
    <w:rsid w:val="00A23073"/>
    <w:rsid w:val="00A31467"/>
    <w:rsid w:val="00A32D1F"/>
    <w:rsid w:val="00A62A5F"/>
    <w:rsid w:val="00A67B13"/>
    <w:rsid w:val="00A80DAB"/>
    <w:rsid w:val="00A81580"/>
    <w:rsid w:val="00A8477F"/>
    <w:rsid w:val="00A857FD"/>
    <w:rsid w:val="00A86E95"/>
    <w:rsid w:val="00A9052B"/>
    <w:rsid w:val="00AA263F"/>
    <w:rsid w:val="00AA40B7"/>
    <w:rsid w:val="00AB0258"/>
    <w:rsid w:val="00AB0E7B"/>
    <w:rsid w:val="00AB2EF3"/>
    <w:rsid w:val="00AC330D"/>
    <w:rsid w:val="00AD5EA0"/>
    <w:rsid w:val="00AE0743"/>
    <w:rsid w:val="00AE08C4"/>
    <w:rsid w:val="00AE25B1"/>
    <w:rsid w:val="00AE7F11"/>
    <w:rsid w:val="00AF08DA"/>
    <w:rsid w:val="00AF10E4"/>
    <w:rsid w:val="00AF1F50"/>
    <w:rsid w:val="00AF325C"/>
    <w:rsid w:val="00B023FC"/>
    <w:rsid w:val="00B05036"/>
    <w:rsid w:val="00B11177"/>
    <w:rsid w:val="00B12767"/>
    <w:rsid w:val="00B41CC1"/>
    <w:rsid w:val="00B5741E"/>
    <w:rsid w:val="00B61644"/>
    <w:rsid w:val="00B61D51"/>
    <w:rsid w:val="00B622E7"/>
    <w:rsid w:val="00B7180B"/>
    <w:rsid w:val="00B84019"/>
    <w:rsid w:val="00B85516"/>
    <w:rsid w:val="00B86042"/>
    <w:rsid w:val="00B93989"/>
    <w:rsid w:val="00BA4022"/>
    <w:rsid w:val="00BC0748"/>
    <w:rsid w:val="00BC2053"/>
    <w:rsid w:val="00BD0E44"/>
    <w:rsid w:val="00BD2DC1"/>
    <w:rsid w:val="00BE405D"/>
    <w:rsid w:val="00BE5177"/>
    <w:rsid w:val="00BE5A5B"/>
    <w:rsid w:val="00BF57DE"/>
    <w:rsid w:val="00C01328"/>
    <w:rsid w:val="00C1535A"/>
    <w:rsid w:val="00C17319"/>
    <w:rsid w:val="00C266D9"/>
    <w:rsid w:val="00C33DF2"/>
    <w:rsid w:val="00C462DC"/>
    <w:rsid w:val="00C52060"/>
    <w:rsid w:val="00C620C8"/>
    <w:rsid w:val="00C7188F"/>
    <w:rsid w:val="00C91D2F"/>
    <w:rsid w:val="00C930C0"/>
    <w:rsid w:val="00CA350F"/>
    <w:rsid w:val="00CA3A38"/>
    <w:rsid w:val="00CB2E33"/>
    <w:rsid w:val="00CD2465"/>
    <w:rsid w:val="00CE4120"/>
    <w:rsid w:val="00CE670C"/>
    <w:rsid w:val="00D00EBE"/>
    <w:rsid w:val="00D01B7C"/>
    <w:rsid w:val="00D048D6"/>
    <w:rsid w:val="00D117F2"/>
    <w:rsid w:val="00D14100"/>
    <w:rsid w:val="00D41BA7"/>
    <w:rsid w:val="00D4507F"/>
    <w:rsid w:val="00D54C74"/>
    <w:rsid w:val="00D7033D"/>
    <w:rsid w:val="00D73870"/>
    <w:rsid w:val="00D86BC9"/>
    <w:rsid w:val="00D96ABE"/>
    <w:rsid w:val="00DA303E"/>
    <w:rsid w:val="00DC08C7"/>
    <w:rsid w:val="00DD15A6"/>
    <w:rsid w:val="00DD2CA8"/>
    <w:rsid w:val="00DD65B9"/>
    <w:rsid w:val="00DE22DB"/>
    <w:rsid w:val="00DE28F5"/>
    <w:rsid w:val="00DE3EDB"/>
    <w:rsid w:val="00E00A50"/>
    <w:rsid w:val="00E357E4"/>
    <w:rsid w:val="00E51DA5"/>
    <w:rsid w:val="00E55E43"/>
    <w:rsid w:val="00E60ECE"/>
    <w:rsid w:val="00E7162D"/>
    <w:rsid w:val="00E75481"/>
    <w:rsid w:val="00E80057"/>
    <w:rsid w:val="00E835FE"/>
    <w:rsid w:val="00E87560"/>
    <w:rsid w:val="00E8796E"/>
    <w:rsid w:val="00E87C90"/>
    <w:rsid w:val="00E93825"/>
    <w:rsid w:val="00E9588A"/>
    <w:rsid w:val="00EB05E1"/>
    <w:rsid w:val="00EC2A5E"/>
    <w:rsid w:val="00ED02E1"/>
    <w:rsid w:val="00ED2974"/>
    <w:rsid w:val="00ED2FE9"/>
    <w:rsid w:val="00ED48D4"/>
    <w:rsid w:val="00ED5ED6"/>
    <w:rsid w:val="00ED76ED"/>
    <w:rsid w:val="00EE1964"/>
    <w:rsid w:val="00EF62FE"/>
    <w:rsid w:val="00F00536"/>
    <w:rsid w:val="00F031F1"/>
    <w:rsid w:val="00F05BAD"/>
    <w:rsid w:val="00F13B7A"/>
    <w:rsid w:val="00F16B5A"/>
    <w:rsid w:val="00F27C22"/>
    <w:rsid w:val="00F326B6"/>
    <w:rsid w:val="00F4256F"/>
    <w:rsid w:val="00F4529F"/>
    <w:rsid w:val="00F452AF"/>
    <w:rsid w:val="00F60A98"/>
    <w:rsid w:val="00F82228"/>
    <w:rsid w:val="00F84793"/>
    <w:rsid w:val="00FA178E"/>
    <w:rsid w:val="00FA4CE8"/>
    <w:rsid w:val="00FB2288"/>
    <w:rsid w:val="00FB5C96"/>
    <w:rsid w:val="00FD628A"/>
    <w:rsid w:val="00FE2883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985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B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B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7F"/>
  </w:style>
  <w:style w:type="paragraph" w:styleId="Footer">
    <w:name w:val="footer"/>
    <w:basedOn w:val="Normal"/>
    <w:link w:val="Foot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7F"/>
  </w:style>
  <w:style w:type="paragraph" w:customStyle="1" w:styleId="Default">
    <w:name w:val="Default"/>
    <w:rsid w:val="0024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8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B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B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7F"/>
  </w:style>
  <w:style w:type="paragraph" w:styleId="Footer">
    <w:name w:val="footer"/>
    <w:basedOn w:val="Normal"/>
    <w:link w:val="Foot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7F"/>
  </w:style>
  <w:style w:type="paragraph" w:customStyle="1" w:styleId="Default">
    <w:name w:val="Default"/>
    <w:rsid w:val="0024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8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086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ntoncoal.org/states/" TargetMode="External"/><Relationship Id="rId1" Type="http://schemas.openxmlformats.org/officeDocument/2006/relationships/hyperlink" Target="http://www.countoncoal.org/s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0A84132B7449AD650A7EA6D5483A" ma:contentTypeVersion="0" ma:contentTypeDescription="Create a new document." ma:contentTypeScope="" ma:versionID="69839ff81bed6c7d6960f3e0574042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5FEE-C868-4E3E-9FE3-ED188B38C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4630E-1E04-434D-9195-B57A069F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868E0-6624-4C42-BA42-619789DA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671592-2B64-42FD-BBEF-AE568F46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Bailey</dc:creator>
  <cp:lastModifiedBy>Paul Bailey</cp:lastModifiedBy>
  <cp:revision>2</cp:revision>
  <cp:lastPrinted>2014-10-13T15:36:00Z</cp:lastPrinted>
  <dcterms:created xsi:type="dcterms:W3CDTF">2014-11-04T15:09:00Z</dcterms:created>
  <dcterms:modified xsi:type="dcterms:W3CDTF">2014-11-04T15:09:00Z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0x0101008A210A84132B7449AD650A7EA6D5483A</vt:lpwstr>
  </property>
</Properties>
</file>